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72"/>
        </w:rPr>
        <w:t>承德市</w:t>
      </w:r>
      <w:r>
        <w:rPr>
          <w:rFonts w:hint="eastAsia" w:ascii="方正小标宋_GBK" w:hAnsi="方正小标宋_GBK" w:eastAsia="方正小标宋_GBK" w:cs="方正小标宋_GBK"/>
          <w:color w:val="000000"/>
          <w:sz w:val="72"/>
          <w:lang w:eastAsia="zh-CN"/>
        </w:rPr>
        <w:t>不动产登记中心</w:t>
      </w:r>
    </w:p>
    <w:p>
      <w:pPr>
        <w:spacing w:before="0" w:after="0" w:line="240" w:lineRule="auto"/>
        <w:ind w:firstLine="0"/>
        <w:jc w:val="center"/>
        <w:outlineLvl w:val="9"/>
      </w:pPr>
      <w:r>
        <w:rPr>
          <w:rFonts w:ascii="方正小标宋_GBK" w:hAnsi="方正小标宋_GBK" w:eastAsia="方正小标宋_GBK" w:cs="方正小标宋_GBK"/>
          <w:color w:val="000000"/>
          <w:sz w:val="72"/>
        </w:rPr>
        <w:t>202</w:t>
      </w:r>
      <w:r>
        <w:rPr>
          <w:rFonts w:hint="eastAsia" w:ascii="方正小标宋_GBK" w:hAnsi="方正小标宋_GBK" w:eastAsia="方正小标宋_GBK" w:cs="方正小标宋_GBK"/>
          <w:color w:val="000000"/>
          <w:sz w:val="72"/>
          <w:lang w:val="en-US" w:eastAsia="zh-CN"/>
        </w:rPr>
        <w:t>3</w:t>
      </w:r>
      <w:r>
        <w:rPr>
          <w:rFonts w:ascii="方正小标宋_GBK" w:hAnsi="方正小标宋_GBK" w:eastAsia="方正小标宋_GBK" w:cs="方正小标宋_GBK"/>
          <w:color w:val="000000"/>
          <w:sz w:val="72"/>
        </w:rPr>
        <w:t>年预算绩效文本</w:t>
      </w:r>
    </w:p>
    <w:p>
      <w:pPr>
        <w:spacing w:before="0" w:after="0" w:line="240" w:lineRule="auto"/>
        <w:ind w:firstLine="0"/>
        <w:jc w:val="center"/>
        <w:outlineLvl w:val="9"/>
      </w:pPr>
      <w:r>
        <w:rPr>
          <w:rFonts w:ascii="方正小标宋_GBK" w:hAnsi="方正小标宋_GBK" w:eastAsia="方正小标宋_GBK" w:cs="方正小标宋_GBK"/>
          <w:color w:val="000000"/>
          <w:sz w:val="52"/>
        </w:rPr>
        <w:t>（</w:t>
      </w:r>
      <w:r>
        <w:rPr>
          <w:rFonts w:hint="eastAsia" w:ascii="方正小标宋_GBK" w:hAnsi="方正小标宋_GBK" w:eastAsia="方正小标宋_GBK" w:cs="方正小标宋_GBK"/>
          <w:color w:val="000000"/>
          <w:sz w:val="52"/>
          <w:lang w:eastAsia="zh-CN"/>
        </w:rPr>
        <w:t>文本</w:t>
      </w:r>
      <w:r>
        <w:rPr>
          <w:rFonts w:ascii="方正小标宋_GBK" w:hAnsi="方正小标宋_GBK" w:eastAsia="方正小标宋_GBK" w:cs="方正小标宋_GBK"/>
          <w:color w:val="000000"/>
          <w:sz w:val="52"/>
        </w:rPr>
        <w:t>）</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宋体" w:hAnsi="宋体" w:eastAsia="宋体" w:cs="宋体"/>
          <w:color w:val="000000"/>
          <w:sz w:val="21"/>
        </w:rPr>
        <w:t xml:space="preserve"> </w:t>
      </w:r>
    </w:p>
    <w:p>
      <w:pPr>
        <w:spacing w:before="0" w:after="0" w:line="240" w:lineRule="auto"/>
        <w:ind w:firstLine="0"/>
        <w:jc w:val="center"/>
        <w:outlineLvl w:val="9"/>
      </w:pPr>
      <w:r>
        <w:rPr>
          <w:rFonts w:ascii="方正楷体_GBK" w:hAnsi="方正楷体_GBK" w:eastAsia="方正楷体_GBK" w:cs="方正楷体_GBK"/>
          <w:b/>
          <w:color w:val="000000"/>
          <w:sz w:val="32"/>
        </w:rPr>
        <w:t>承德市</w:t>
      </w:r>
      <w:r>
        <w:rPr>
          <w:rFonts w:hint="eastAsia" w:ascii="方正楷体_GBK" w:hAnsi="方正楷体_GBK" w:eastAsia="方正楷体_GBK" w:cs="方正楷体_GBK"/>
          <w:b/>
          <w:color w:val="000000"/>
          <w:sz w:val="32"/>
          <w:lang w:eastAsia="zh-CN"/>
        </w:rPr>
        <w:t>不动产登记中心</w:t>
      </w:r>
      <w:r>
        <w:rPr>
          <w:rFonts w:ascii="方正楷体_GBK" w:hAnsi="方正楷体_GBK" w:eastAsia="方正楷体_GBK" w:cs="方正楷体_GBK"/>
          <w:b/>
          <w:color w:val="000000"/>
          <w:sz w:val="32"/>
        </w:rPr>
        <w:t>编制</w:t>
      </w:r>
    </w:p>
    <w:p>
      <w:pPr>
        <w:spacing w:before="0" w:after="0" w:line="240" w:lineRule="auto"/>
        <w:ind w:firstLine="0"/>
        <w:jc w:val="center"/>
        <w:outlineLvl w:val="9"/>
        <w:sectPr>
          <w:headerReference r:id="rId5" w:type="first"/>
          <w:footerReference r:id="rId8" w:type="first"/>
          <w:headerReference r:id="rId3" w:type="default"/>
          <w:footerReference r:id="rId6" w:type="default"/>
          <w:headerReference r:id="rId4" w:type="even"/>
          <w:footerReference r:id="rId7" w:type="even"/>
          <w:pgSz w:w="11900" w:h="16840"/>
          <w:pgMar w:top="1984" w:right="1304" w:bottom="1134" w:left="1304" w:header="720" w:footer="720" w:gutter="0"/>
          <w:pgNumType w:fmt="decimal" w:start="0"/>
          <w:cols w:space="720" w:num="1"/>
          <w:titlePg/>
        </w:sectPr>
      </w:pPr>
      <w:r>
        <w:rPr>
          <w:rFonts w:ascii="方正楷体_GBK" w:hAnsi="方正楷体_GBK" w:eastAsia="方正楷体_GBK" w:cs="方正楷体_GBK"/>
          <w:b/>
          <w:color w:val="000000"/>
          <w:sz w:val="32"/>
        </w:rPr>
        <w:t>承德市财政局审核</w:t>
      </w:r>
    </w:p>
    <w:p>
      <w:pPr>
        <w:spacing w:before="0" w:after="0" w:line="240" w:lineRule="auto"/>
        <w:ind w:firstLine="0"/>
        <w:jc w:val="center"/>
        <w:outlineLvl w:val="0"/>
      </w:pPr>
      <w:r>
        <w:rPr>
          <w:rFonts w:ascii="方正小标宋_GBK" w:hAnsi="方正小标宋_GBK" w:eastAsia="方正小标宋_GBK" w:cs="方正小标宋_GBK"/>
          <w:color w:val="000000"/>
          <w:sz w:val="36"/>
        </w:rPr>
        <w:t>目    录</w:t>
      </w:r>
    </w:p>
    <w:p>
      <w:pPr>
        <w:spacing w:before="0" w:after="0" w:line="240" w:lineRule="auto"/>
        <w:ind w:firstLine="0"/>
        <w:jc w:val="center"/>
        <w:outlineLvl w:val="9"/>
      </w:pPr>
      <w:r>
        <w:rPr>
          <w:rFonts w:ascii="方正小标宋_GBK" w:hAnsi="方正小标宋_GBK" w:eastAsia="方正小标宋_GBK" w:cs="方正小标宋_GBK"/>
          <w:color w:val="000000"/>
          <w:sz w:val="30"/>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30"/>
        </w:rPr>
        <w:t>第一部分 整体绩效目标</w:t>
      </w:r>
    </w:p>
    <w:p>
      <w:pPr>
        <w:pStyle w:val="4"/>
        <w:tabs>
          <w:tab w:val="right" w:leader="dot" w:pos="9282"/>
        </w:tabs>
      </w:pPr>
      <w:r>
        <w:fldChar w:fldCharType="begin"/>
      </w:r>
      <w:r>
        <w:instrText xml:space="preserve">TOC \o "2-2" \h \z \u</w:instrText>
      </w:r>
      <w:r>
        <w:fldChar w:fldCharType="separate"/>
      </w:r>
      <w:r>
        <w:fldChar w:fldCharType="begin"/>
      </w:r>
      <w:r>
        <w:instrText xml:space="preserve"> HYPERLINK \l "_Toc_2_2_0000000001" </w:instrText>
      </w:r>
      <w:r>
        <w:fldChar w:fldCharType="separate"/>
      </w:r>
      <w:r>
        <w:t>一、总体绩效目标</w:t>
      </w:r>
      <w:r>
        <w:tab/>
      </w:r>
      <w:r>
        <w:rPr>
          <w:rFonts w:hint="eastAsia"/>
          <w:lang w:val="en-US" w:eastAsia="zh-CN"/>
        </w:rPr>
        <w:t>2</w:t>
      </w:r>
      <w:r>
        <w:fldChar w:fldCharType="end"/>
      </w:r>
    </w:p>
    <w:p>
      <w:pPr>
        <w:pStyle w:val="4"/>
        <w:tabs>
          <w:tab w:val="right" w:leader="dot" w:pos="9282"/>
        </w:tabs>
      </w:pPr>
      <w:r>
        <w:fldChar w:fldCharType="begin"/>
      </w:r>
      <w:r>
        <w:instrText xml:space="preserve"> HYPERLINK \l "_Toc_2_2_0000000002" </w:instrText>
      </w:r>
      <w:r>
        <w:fldChar w:fldCharType="separate"/>
      </w:r>
      <w:r>
        <w:t>二、分项绩效目标</w:t>
      </w:r>
      <w:r>
        <w:tab/>
      </w:r>
      <w:r>
        <w:rPr>
          <w:rFonts w:hint="eastAsia"/>
          <w:lang w:val="en-US" w:eastAsia="zh-CN"/>
        </w:rPr>
        <w:t>2</w:t>
      </w:r>
      <w:r>
        <w:fldChar w:fldCharType="end"/>
      </w:r>
    </w:p>
    <w:p>
      <w:pPr>
        <w:pStyle w:val="4"/>
        <w:tabs>
          <w:tab w:val="right" w:leader="dot" w:pos="9282"/>
        </w:tabs>
      </w:pPr>
      <w:r>
        <w:fldChar w:fldCharType="begin"/>
      </w:r>
      <w:r>
        <w:instrText xml:space="preserve"> HYPERLINK \l "_Toc_2_2_0000000003" </w:instrText>
      </w:r>
      <w:r>
        <w:fldChar w:fldCharType="separate"/>
      </w:r>
      <w:r>
        <w:t>三、工作保障措施</w:t>
      </w:r>
      <w:r>
        <w:tab/>
      </w:r>
      <w:r>
        <w:rPr>
          <w:rFonts w:hint="eastAsia"/>
          <w:lang w:val="en-US" w:eastAsia="zh-CN"/>
        </w:rPr>
        <w:t>2</w:t>
      </w:r>
      <w:r>
        <w:fldChar w:fldCharType="end"/>
      </w:r>
    </w:p>
    <w:p>
      <w:r>
        <w:fldChar w:fldCharType="end"/>
      </w:r>
    </w:p>
    <w:p>
      <w:pPr>
        <w:spacing w:before="0" w:after="0" w:line="240" w:lineRule="auto"/>
        <w:ind w:firstLine="0"/>
        <w:jc w:val="center"/>
        <w:outlineLvl w:val="9"/>
        <w:rPr>
          <w:rFonts w:ascii="方正小标宋_GBK" w:hAnsi="方正小标宋_GBK" w:eastAsia="方正小标宋_GBK" w:cs="方正小标宋_GBK"/>
          <w:color w:val="000000"/>
          <w:sz w:val="30"/>
        </w:rPr>
      </w:pPr>
    </w:p>
    <w:p>
      <w:pPr>
        <w:spacing w:before="0" w:after="0" w:line="240" w:lineRule="auto"/>
        <w:ind w:firstLine="0"/>
        <w:jc w:val="center"/>
        <w:outlineLvl w:val="9"/>
      </w:pPr>
      <w:r>
        <w:rPr>
          <w:rFonts w:ascii="方正小标宋_GBK" w:hAnsi="方正小标宋_GBK" w:eastAsia="方正小标宋_GBK" w:cs="方正小标宋_GBK"/>
          <w:color w:val="000000"/>
          <w:sz w:val="30"/>
        </w:rPr>
        <w:t>第二部分 预算项目绩效目标</w:t>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TOC \o "4-4" \h \z \u</w:instrText>
      </w:r>
      <w:r>
        <w:rPr>
          <w:rFonts w:ascii="方正仿宋_GBK" w:hAnsi="方正仿宋_GBK" w:eastAsia="方正仿宋_GBK" w:cs="方正仿宋_GBK"/>
          <w:b w:val="0"/>
          <w:bCs/>
          <w:color w:val="000000"/>
          <w:sz w:val="28"/>
        </w:rPr>
        <w:fldChar w:fldCharType="separate"/>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"_Toc_4_4_0000000026"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1</w:t>
      </w:r>
      <w:r>
        <w:rPr>
          <w:rFonts w:ascii="方正仿宋_GBK" w:hAnsi="方正仿宋_GBK" w:eastAsia="方正仿宋_GBK" w:cs="方正仿宋_GBK"/>
          <w:b w:val="0"/>
          <w:bCs/>
          <w:color w:val="000000"/>
          <w:sz w:val="28"/>
        </w:rPr>
        <w:t>.2023年度不动产登记档案室运转经费项目绩效目标表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5</w:t>
      </w:r>
      <w:r>
        <w:rPr>
          <w:rFonts w:ascii="方正仿宋_GBK" w:hAnsi="方正仿宋_GBK" w:eastAsia="方正仿宋_GBK" w:cs="方正仿宋_GBK"/>
          <w:b w:val="0"/>
          <w:bCs/>
          <w:color w:val="000000"/>
          <w:sz w:val="28"/>
        </w:rPr>
        <w:fldChar w:fldCharType="end"/>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"_Toc_4_4_0000000027" </w:instrText>
      </w:r>
      <w:r>
        <w:rPr>
          <w:rFonts w:ascii="方正仿宋_GBK" w:hAnsi="方正仿宋_GBK" w:eastAsia="方正仿宋_GBK" w:cs="方正仿宋_GBK"/>
          <w:b w:val="0"/>
          <w:bCs/>
          <w:color w:val="000000"/>
          <w:sz w:val="28"/>
        </w:rPr>
        <w:fldChar w:fldCharType="separate"/>
      </w:r>
      <w:r>
        <w:rPr>
          <w:rFonts w:ascii="方正仿宋_GBK" w:hAnsi="方正仿宋_GBK" w:eastAsia="方正仿宋_GBK" w:cs="方正仿宋_GBK"/>
          <w:b w:val="0"/>
          <w:bCs/>
          <w:color w:val="000000"/>
          <w:sz w:val="28"/>
        </w:rPr>
        <w:t>2.2023年度不动产登记受理及档案管理经费项目绩效目标表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6</w:t>
      </w:r>
      <w:r>
        <w:rPr>
          <w:rFonts w:ascii="方正仿宋_GBK" w:hAnsi="方正仿宋_GBK" w:eastAsia="方正仿宋_GBK" w:cs="方正仿宋_GBK"/>
          <w:b w:val="0"/>
          <w:bCs/>
          <w:color w:val="000000"/>
          <w:sz w:val="28"/>
        </w:rPr>
        <w:fldChar w:fldCharType="end"/>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"_Toc_4_4_0000000028"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3</w:t>
      </w:r>
      <w:r>
        <w:rPr>
          <w:rFonts w:ascii="方正仿宋_GBK" w:hAnsi="方正仿宋_GBK" w:eastAsia="方正仿宋_GBK" w:cs="方正仿宋_GBK"/>
          <w:b w:val="0"/>
          <w:bCs/>
          <w:color w:val="000000"/>
          <w:sz w:val="28"/>
        </w:rPr>
        <w:t>.2023年度不动产登记数据整合维护经费项目绩效目标表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7</w:t>
      </w:r>
      <w:r>
        <w:rPr>
          <w:rFonts w:ascii="方正仿宋_GBK" w:hAnsi="方正仿宋_GBK" w:eastAsia="方正仿宋_GBK" w:cs="方正仿宋_GBK"/>
          <w:b w:val="0"/>
          <w:bCs/>
          <w:color w:val="000000"/>
          <w:sz w:val="28"/>
        </w:rPr>
        <w:fldChar w:fldCharType="end"/>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"_Toc_4_4_0000000029"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4</w:t>
      </w:r>
      <w:r>
        <w:rPr>
          <w:rFonts w:ascii="方正仿宋_GBK" w:hAnsi="方正仿宋_GBK" w:eastAsia="方正仿宋_GBK" w:cs="方正仿宋_GBK"/>
          <w:b w:val="0"/>
          <w:bCs/>
          <w:color w:val="000000"/>
          <w:sz w:val="28"/>
        </w:rPr>
        <w:t>.2023年度承德市不动产登记中心（营子区分中心）不动产登记服务项目经费项目绩效目标表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8</w:t>
      </w:r>
      <w:r>
        <w:rPr>
          <w:rFonts w:ascii="方正仿宋_GBK" w:hAnsi="方正仿宋_GBK" w:eastAsia="方正仿宋_GBK" w:cs="方正仿宋_GBK"/>
          <w:b w:val="0"/>
          <w:bCs/>
          <w:color w:val="000000"/>
          <w:sz w:val="28"/>
        </w:rPr>
        <w:fldChar w:fldCharType="end"/>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"_Toc_4_4_0000000030"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5</w:t>
      </w:r>
      <w:r>
        <w:rPr>
          <w:rFonts w:ascii="方正仿宋_GBK" w:hAnsi="方正仿宋_GBK" w:eastAsia="方正仿宋_GBK" w:cs="方正仿宋_GBK"/>
          <w:b w:val="0"/>
          <w:bCs/>
          <w:color w:val="000000"/>
          <w:sz w:val="28"/>
        </w:rPr>
        <w:t>.2023年度市本级不动产登记存量数据整合汇交项目经费绩效目标表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9</w:t>
      </w:r>
      <w:r>
        <w:rPr>
          <w:rFonts w:ascii="方正仿宋_GBK" w:hAnsi="方正仿宋_GBK" w:eastAsia="方正仿宋_GBK" w:cs="方正仿宋_GBK"/>
          <w:b w:val="0"/>
          <w:bCs/>
          <w:color w:val="000000"/>
          <w:sz w:val="28"/>
        </w:rPr>
        <w:fldChar w:fldCharType="end"/>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"_Toc_4_4_0000000031"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6</w:t>
      </w:r>
      <w:r>
        <w:rPr>
          <w:rFonts w:ascii="方正仿宋_GBK" w:hAnsi="方正仿宋_GBK" w:eastAsia="方正仿宋_GBK" w:cs="方正仿宋_GBK"/>
          <w:b w:val="0"/>
          <w:bCs/>
          <w:color w:val="000000"/>
          <w:sz w:val="28"/>
        </w:rPr>
        <w:t>.2023年度市本级不动产登记信息管理平台建设项目款及维护经费绩效目标表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1</w:t>
      </w:r>
      <w:r>
        <w:rPr>
          <w:rFonts w:ascii="方正仿宋_GBK" w:hAnsi="方正仿宋_GBK" w:eastAsia="方正仿宋_GBK" w:cs="方正仿宋_GBK"/>
          <w:b w:val="0"/>
          <w:bCs/>
          <w:color w:val="000000"/>
          <w:sz w:val="28"/>
        </w:rPr>
        <w:fldChar w:fldCharType="end"/>
      </w:r>
      <w:r>
        <w:rPr>
          <w:rFonts w:hint="eastAsia" w:ascii="方正仿宋_GBK" w:hAnsi="方正仿宋_GBK" w:eastAsia="方正仿宋_GBK" w:cs="方正仿宋_GBK"/>
          <w:b w:val="0"/>
          <w:bCs/>
          <w:color w:val="000000"/>
          <w:sz w:val="28"/>
          <w:lang w:val="en-US" w:eastAsia="zh-CN"/>
        </w:rPr>
        <w:t>0</w:t>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end"/>
      </w: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"_Toc_4_4_0000000031"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7</w:t>
      </w:r>
      <w:r>
        <w:rPr>
          <w:rFonts w:ascii="方正仿宋_GBK" w:hAnsi="方正仿宋_GBK" w:eastAsia="方正仿宋_GBK" w:cs="方正仿宋_GBK"/>
          <w:b w:val="0"/>
          <w:bCs/>
          <w:color w:val="000000"/>
          <w:sz w:val="28"/>
        </w:rPr>
        <w:t>.2023年度云平台到各分中心终端的网络线路租金项目经费项目绩效目标表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1</w:t>
      </w:r>
      <w:r>
        <w:rPr>
          <w:rFonts w:ascii="方正仿宋_GBK" w:hAnsi="方正仿宋_GBK" w:eastAsia="方正仿宋_GBK" w:cs="方正仿宋_GBK"/>
          <w:b w:val="0"/>
          <w:bCs/>
          <w:color w:val="000000"/>
          <w:sz w:val="28"/>
        </w:rPr>
        <w:fldChar w:fldCharType="end"/>
      </w:r>
      <w:r>
        <w:rPr>
          <w:rFonts w:hint="eastAsia" w:ascii="方正仿宋_GBK" w:hAnsi="方正仿宋_GBK" w:cs="方正仿宋_GBK"/>
          <w:b w:val="0"/>
          <w:bCs/>
          <w:color w:val="000000"/>
          <w:sz w:val="28"/>
          <w:lang w:val="en-US" w:eastAsia="zh-CN"/>
        </w:rPr>
        <w:t>1</w:t>
      </w:r>
    </w:p>
    <w:p>
      <w:pPr>
        <w:pStyle w:val="4"/>
        <w:tabs>
          <w:tab w:val="right" w:leader="dot" w:pos="9282"/>
        </w:tabs>
        <w:rPr>
          <w:rFonts w:ascii="方正仿宋_GBK" w:hAnsi="方正仿宋_GBK" w:eastAsia="方正仿宋_GBK" w:cs="方正仿宋_GBK"/>
          <w:b w:val="0"/>
          <w:bCs/>
          <w:color w:val="000000"/>
          <w:sz w:val="28"/>
        </w:rPr>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"_Toc_4_4_0000000031"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8</w:t>
      </w:r>
      <w:r>
        <w:rPr>
          <w:rFonts w:ascii="方正仿宋_GBK" w:hAnsi="方正仿宋_GBK" w:eastAsia="方正仿宋_GBK" w:cs="方正仿宋_GBK"/>
          <w:b w:val="0"/>
          <w:bCs/>
          <w:color w:val="000000"/>
          <w:sz w:val="28"/>
        </w:rPr>
        <w:t>.2023年度市本级不动产登记管理平台升级改造项目经费绩效目标表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1</w:t>
      </w:r>
      <w:r>
        <w:rPr>
          <w:rFonts w:ascii="方正仿宋_GBK" w:hAnsi="方正仿宋_GBK" w:eastAsia="方正仿宋_GBK" w:cs="方正仿宋_GBK"/>
          <w:b w:val="0"/>
          <w:bCs/>
          <w:color w:val="000000"/>
          <w:sz w:val="28"/>
        </w:rPr>
        <w:fldChar w:fldCharType="end"/>
      </w:r>
      <w:r>
        <w:rPr>
          <w:rFonts w:hint="eastAsia" w:ascii="方正仿宋_GBK" w:hAnsi="方正仿宋_GBK" w:cs="方正仿宋_GBK"/>
          <w:b w:val="0"/>
          <w:bCs/>
          <w:color w:val="000000"/>
          <w:sz w:val="28"/>
          <w:lang w:val="en-US" w:eastAsia="zh-CN"/>
        </w:rPr>
        <w:t>2</w:t>
      </w:r>
    </w:p>
    <w:p>
      <w:pPr>
        <w:pStyle w:val="4"/>
        <w:tabs>
          <w:tab w:val="right" w:leader="dot" w:pos="9282"/>
        </w:tabs>
        <w:rPr>
          <w:rFonts w:ascii="方正仿宋_GBK" w:hAnsi="方正仿宋_GBK" w:eastAsia="方正仿宋_GBK" w:cs="方正仿宋_GBK"/>
          <w:b w:val="0"/>
          <w:bCs/>
          <w:color w:val="000000"/>
          <w:sz w:val="28"/>
        </w:rPr>
      </w:pPr>
    </w:p>
    <w:p>
      <w:pPr>
        <w:pStyle w:val="4"/>
        <w:tabs>
          <w:tab w:val="right" w:leader="dot" w:pos="9282"/>
        </w:tabs>
      </w:pPr>
      <w:r>
        <w:rPr>
          <w:rFonts w:ascii="方正仿宋_GBK" w:hAnsi="方正仿宋_GBK" w:eastAsia="方正仿宋_GBK" w:cs="方正仿宋_GBK"/>
          <w:b w:val="0"/>
          <w:bCs/>
          <w:color w:val="000000"/>
          <w:sz w:val="28"/>
        </w:rPr>
        <w:fldChar w:fldCharType="begin"/>
      </w:r>
      <w:r>
        <w:rPr>
          <w:rFonts w:ascii="方正仿宋_GBK" w:hAnsi="方正仿宋_GBK" w:eastAsia="方正仿宋_GBK" w:cs="方正仿宋_GBK"/>
          <w:b w:val="0"/>
          <w:bCs/>
          <w:color w:val="000000"/>
          <w:sz w:val="28"/>
        </w:rPr>
        <w:instrText xml:space="preserve"> HYPERLINK \l "_Toc_4_4_0000000031" </w:instrText>
      </w:r>
      <w:r>
        <w:rPr>
          <w:rFonts w:ascii="方正仿宋_GBK" w:hAnsi="方正仿宋_GBK" w:eastAsia="方正仿宋_GBK" w:cs="方正仿宋_GBK"/>
          <w:b w:val="0"/>
          <w:bCs/>
          <w:color w:val="000000"/>
          <w:sz w:val="28"/>
        </w:rPr>
        <w:fldChar w:fldCharType="separate"/>
      </w:r>
      <w:r>
        <w:rPr>
          <w:rFonts w:hint="eastAsia" w:ascii="方正仿宋_GBK" w:hAnsi="方正仿宋_GBK" w:eastAsia="方正仿宋_GBK" w:cs="方正仿宋_GBK"/>
          <w:b w:val="0"/>
          <w:bCs/>
          <w:color w:val="000000"/>
          <w:sz w:val="28"/>
          <w:lang w:val="en-US" w:eastAsia="zh-CN"/>
        </w:rPr>
        <w:t>9</w:t>
      </w:r>
      <w:r>
        <w:rPr>
          <w:rFonts w:ascii="方正仿宋_GBK" w:hAnsi="方正仿宋_GBK" w:eastAsia="方正仿宋_GBK" w:cs="方正仿宋_GBK"/>
          <w:b w:val="0"/>
          <w:bCs/>
          <w:color w:val="000000"/>
          <w:sz w:val="28"/>
        </w:rPr>
        <w:t>.2023年度钟鼓楼不动产登记档案室迁移项目绩效目标表</w:t>
      </w:r>
      <w:r>
        <w:rPr>
          <w:rFonts w:ascii="方正仿宋_GBK" w:hAnsi="方正仿宋_GBK" w:eastAsia="方正仿宋_GBK" w:cs="方正仿宋_GBK"/>
          <w:b w:val="0"/>
          <w:bCs/>
          <w:color w:val="000000"/>
          <w:sz w:val="28"/>
        </w:rPr>
        <w:tab/>
      </w:r>
      <w:r>
        <w:rPr>
          <w:rFonts w:hint="eastAsia" w:ascii="方正仿宋_GBK" w:hAnsi="方正仿宋_GBK" w:eastAsia="方正仿宋_GBK" w:cs="方正仿宋_GBK"/>
          <w:b w:val="0"/>
          <w:bCs/>
          <w:color w:val="000000"/>
          <w:sz w:val="28"/>
          <w:lang w:val="en-US" w:eastAsia="zh-CN"/>
        </w:rPr>
        <w:t>1</w:t>
      </w:r>
      <w:r>
        <w:rPr>
          <w:rFonts w:ascii="方正仿宋_GBK" w:hAnsi="方正仿宋_GBK" w:eastAsia="方正仿宋_GBK" w:cs="方正仿宋_GBK"/>
          <w:b w:val="0"/>
          <w:bCs/>
          <w:color w:val="000000"/>
          <w:sz w:val="28"/>
        </w:rPr>
        <w:fldChar w:fldCharType="end"/>
      </w:r>
      <w:r>
        <w:rPr>
          <w:rFonts w:hint="eastAsia" w:ascii="方正仿宋_GBK" w:hAnsi="方正仿宋_GBK" w:cs="方正仿宋_GBK"/>
          <w:b w:val="0"/>
          <w:bCs/>
          <w:color w:val="000000"/>
          <w:sz w:val="28"/>
          <w:lang w:val="en-US" w:eastAsia="zh-CN"/>
        </w:rPr>
        <w:t>3</w:t>
      </w:r>
      <w:bookmarkStart w:id="3" w:name="_GoBack"/>
      <w:bookmarkEnd w:id="3"/>
    </w:p>
    <w:p>
      <w:pPr>
        <w:sectPr>
          <w:footerReference r:id="rId11" w:type="first"/>
          <w:footerReference r:id="rId9" w:type="default"/>
          <w:footerReference r:id="rId10" w:type="even"/>
          <w:pgSz w:w="11900" w:h="16840"/>
          <w:pgMar w:top="1984" w:right="1304" w:bottom="1134" w:left="1304" w:header="720" w:footer="720" w:gutter="0"/>
          <w:pgNumType w:fmt="decimal"/>
          <w:cols w:space="720" w:num="1"/>
          <w:titlePg/>
        </w:sectPr>
      </w:pPr>
    </w:p>
    <w:p>
      <w:r>
        <w:rPr>
          <w:rFonts w:ascii="方正小标宋_GBK" w:hAnsi="方正小标宋_GBK" w:eastAsia="方正小标宋_GBK" w:cs="方正小标宋_GBK"/>
          <w:color w:val="000000"/>
          <w:sz w:val="44"/>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44"/>
        </w:rPr>
        <w:t>第一部分</w:t>
      </w:r>
    </w:p>
    <w:p>
      <w:pPr>
        <w:spacing w:before="0" w:after="0" w:line="240" w:lineRule="auto"/>
        <w:ind w:firstLine="0"/>
        <w:jc w:val="center"/>
        <w:outlineLvl w:val="0"/>
      </w:pPr>
      <w:r>
        <w:rPr>
          <w:rFonts w:ascii="方正小标宋_GBK" w:hAnsi="方正小标宋_GBK" w:eastAsia="方正小标宋_GBK" w:cs="方正小标宋_GBK"/>
          <w:color w:val="000000"/>
          <w:sz w:val="44"/>
        </w:rPr>
        <w:t>整体绩效目标</w:t>
      </w:r>
    </w:p>
    <w:p>
      <w:pPr>
        <w:spacing w:before="0" w:after="0" w:line="240" w:lineRule="auto"/>
        <w:ind w:firstLine="0"/>
        <w:jc w:val="center"/>
        <w:outlineLvl w:val="9"/>
      </w:pPr>
      <w:r>
        <w:rPr>
          <w:rFonts w:ascii="方正小标宋_GBK" w:hAnsi="方正小标宋_GBK" w:eastAsia="方正小标宋_GBK" w:cs="方正小标宋_GBK"/>
          <w:color w:val="000000"/>
          <w:sz w:val="44"/>
        </w:rPr>
        <w:t xml:space="preserve"> </w:t>
      </w:r>
    </w:p>
    <w:p>
      <w:pPr>
        <w:widowControl/>
        <w:wordWrap/>
        <w:adjustRightInd/>
        <w:snapToGrid/>
        <w:spacing w:before="10" w:after="10" w:line="520" w:lineRule="exact"/>
        <w:ind w:left="0" w:leftChars="0" w:right="0" w:firstLine="560"/>
        <w:jc w:val="left"/>
        <w:textAlignment w:val="auto"/>
        <w:outlineLvl w:val="1"/>
        <w:rPr>
          <w:color w:val="000000"/>
        </w:rPr>
      </w:pPr>
      <w:bookmarkStart w:id="0" w:name="_Toc_2_2_0000000001"/>
      <w:r>
        <w:rPr>
          <w:rFonts w:ascii="方正黑体_GBK" w:hAnsi="方正黑体_GBK" w:eastAsia="方正黑体_GBK" w:cs="方正黑体_GBK"/>
          <w:color w:val="000000"/>
          <w:sz w:val="28"/>
        </w:rPr>
        <w:t>一、总体绩效目标</w:t>
      </w:r>
      <w:bookmarkEnd w:id="0"/>
    </w:p>
    <w:p>
      <w:pPr>
        <w:pStyle w:val="17"/>
        <w:rPr>
          <w:rFonts w:hint="eastAsia" w:ascii="Times New Roman" w:hAnsi="Times New Roman" w:eastAsia="方正仿宋_GBK" w:cs="Times New Roman"/>
          <w:color w:val="000000"/>
          <w:sz w:val="28"/>
          <w:szCs w:val="24"/>
          <w:lang w:val="en-US" w:eastAsia="zh-CN" w:bidi="ar-SA"/>
        </w:rPr>
      </w:pPr>
      <w:r>
        <w:rPr>
          <w:rFonts w:hint="eastAsia" w:ascii="Times New Roman" w:hAnsi="Times New Roman" w:eastAsia="方正仿宋_GBK" w:cs="Times New Roman"/>
          <w:color w:val="000000"/>
          <w:sz w:val="28"/>
          <w:szCs w:val="24"/>
          <w:lang w:val="en-US" w:eastAsia="zh-CN" w:bidi="ar-SA"/>
        </w:rPr>
        <w:t>以习近平新时代中国特色社会主义思想为指导，紧紧围绕国家、省、市自然资源和规划管理中心工作，做好市辖区范围内(含承德高新区托管区域)不动产登记的受理、审核、登簿、发证工作；推进市本级不动产权籍数据库和不动产登记信息管理平台的建设、更新、管理和维护；加强市本级不动产登记信息的统计、分析，依法提供不动产登记查询服务；对市本级不动产登记资料的进行收集归档；协助市不动产登记局调处全市跨县(市、区)和重大不动产权属争议等工作。</w:t>
      </w:r>
    </w:p>
    <w:p>
      <w:pPr>
        <w:widowControl/>
        <w:wordWrap/>
        <w:adjustRightInd/>
        <w:snapToGrid/>
        <w:spacing w:before="10" w:after="10" w:line="520" w:lineRule="exact"/>
        <w:ind w:left="0" w:leftChars="0" w:right="0"/>
        <w:jc w:val="left"/>
        <w:textAlignment w:val="auto"/>
        <w:outlineLvl w:val="1"/>
        <w:rPr>
          <w:color w:val="000000"/>
        </w:rPr>
      </w:pPr>
      <w:bookmarkStart w:id="1" w:name="_Toc_2_2_0000000002"/>
      <w:r>
        <w:rPr>
          <w:rFonts w:hint="eastAsia" w:ascii="方正黑体_GBK" w:hAnsi="方正黑体_GBK" w:eastAsia="方正黑体_GBK" w:cs="方正黑体_GBK"/>
          <w:color w:val="FF0000"/>
          <w:sz w:val="28"/>
          <w:lang w:val="en-US" w:eastAsia="zh-CN"/>
        </w:rPr>
        <w:t xml:space="preserve">       </w:t>
      </w:r>
      <w:r>
        <w:rPr>
          <w:rFonts w:ascii="方正黑体_GBK" w:hAnsi="方正黑体_GBK" w:eastAsia="方正黑体_GBK" w:cs="方正黑体_GBK"/>
          <w:color w:val="000000"/>
          <w:sz w:val="28"/>
        </w:rPr>
        <w:t>二、分项绩效目标</w:t>
      </w:r>
      <w:bookmarkEnd w:id="1"/>
    </w:p>
    <w:p>
      <w:pPr>
        <w:pStyle w:val="9"/>
        <w:widowControl/>
        <w:wordWrap/>
        <w:adjustRightInd/>
        <w:snapToGrid/>
        <w:spacing w:before="0" w:after="0" w:line="520" w:lineRule="exact"/>
        <w:ind w:left="0" w:leftChars="0" w:right="0" w:firstLine="560" w:firstLineChars="0"/>
        <w:jc w:val="left"/>
        <w:textAlignment w:val="auto"/>
        <w:outlineLvl w:val="9"/>
        <w:rPr>
          <w:rFonts w:hint="eastAsia" w:ascii="Times New Roman" w:hAnsi="Times New Roman" w:cs="Times New Roman"/>
          <w:color w:val="000000"/>
        </w:rPr>
      </w:pPr>
      <w:r>
        <w:rPr>
          <w:color w:val="000000"/>
        </w:rPr>
        <w:t>绩效目标：</w:t>
      </w:r>
      <w:r>
        <w:rPr>
          <w:rFonts w:hint="eastAsia" w:ascii="Times New Roman" w:hAnsi="Times New Roman" w:cs="Times New Roman"/>
          <w:color w:val="000000"/>
        </w:rPr>
        <w:t>做好本级自然资源统一确权登记工作</w:t>
      </w:r>
      <w:r>
        <w:rPr>
          <w:rFonts w:hint="eastAsia" w:ascii="Times New Roman" w:hAnsi="Times New Roman" w:cs="Times New Roman"/>
          <w:color w:val="000000"/>
          <w:lang w:eastAsia="zh-CN"/>
        </w:rPr>
        <w:t>；</w:t>
      </w:r>
      <w:r>
        <w:rPr>
          <w:rFonts w:hint="eastAsia" w:ascii="Times New Roman" w:hAnsi="Times New Roman" w:cs="Times New Roman"/>
          <w:color w:val="000000"/>
        </w:rPr>
        <w:t>推进宅基地和集体建设用地登记数据</w:t>
      </w:r>
      <w:r>
        <w:rPr>
          <w:rFonts w:hint="eastAsia" w:ascii="Times New Roman" w:hAnsi="Times New Roman" w:cs="Times New Roman"/>
          <w:color w:val="000000"/>
          <w:lang w:eastAsia="zh-CN"/>
        </w:rPr>
        <w:t>整合</w:t>
      </w:r>
      <w:r>
        <w:rPr>
          <w:rFonts w:hint="eastAsia" w:ascii="Times New Roman" w:hAnsi="Times New Roman" w:cs="Times New Roman"/>
          <w:color w:val="000000"/>
        </w:rPr>
        <w:t>汇交</w:t>
      </w:r>
      <w:r>
        <w:rPr>
          <w:rFonts w:hint="eastAsia" w:ascii="Times New Roman" w:hAnsi="Times New Roman" w:cs="Times New Roman"/>
          <w:color w:val="000000"/>
          <w:lang w:eastAsia="zh-CN"/>
        </w:rPr>
        <w:t>；</w:t>
      </w:r>
      <w:r>
        <w:rPr>
          <w:rFonts w:hint="eastAsia" w:ascii="Times New Roman" w:hAnsi="Times New Roman" w:cs="Times New Roman"/>
          <w:color w:val="000000"/>
          <w:lang w:val="en-US" w:eastAsia="zh-CN"/>
        </w:rPr>
        <w:t>实现四区不动产登记非税业务“同城通办”；推进抵押登记窗口向银行业金融机构延伸；建立政务服务“好差评”制度体系及不动产“一证一码”系统；</w:t>
      </w:r>
      <w:r>
        <w:rPr>
          <w:rFonts w:hint="eastAsia" w:ascii="Times New Roman" w:hAnsi="Times New Roman" w:cs="Times New Roman"/>
          <w:color w:val="000000"/>
          <w:lang w:eastAsia="zh-CN"/>
        </w:rPr>
        <w:t>践行</w:t>
      </w:r>
      <w:r>
        <w:rPr>
          <w:rFonts w:hint="eastAsia" w:ascii="Times New Roman" w:hAnsi="Times New Roman" w:cs="Times New Roman"/>
          <w:color w:val="000000"/>
        </w:rPr>
        <w:t>“我为群众办实事”</w:t>
      </w:r>
      <w:r>
        <w:rPr>
          <w:rFonts w:hint="eastAsia" w:ascii="Times New Roman" w:hAnsi="Times New Roman" w:cs="Times New Roman"/>
          <w:color w:val="000000"/>
          <w:lang w:eastAsia="zh-CN"/>
        </w:rPr>
        <w:t>，</w:t>
      </w:r>
      <w:r>
        <w:rPr>
          <w:rFonts w:hint="eastAsia" w:ascii="Times New Roman" w:hAnsi="Times New Roman" w:cs="Times New Roman"/>
          <w:color w:val="000000"/>
        </w:rPr>
        <w:t>提升登记便利度</w:t>
      </w:r>
      <w:r>
        <w:rPr>
          <w:rFonts w:hint="eastAsia" w:ascii="Times New Roman" w:hAnsi="Times New Roman" w:cs="Times New Roman"/>
          <w:color w:val="000000"/>
          <w:lang w:eastAsia="zh-CN"/>
        </w:rPr>
        <w:t>，</w:t>
      </w:r>
      <w:r>
        <w:rPr>
          <w:rFonts w:hint="eastAsia" w:ascii="Times New Roman" w:hAnsi="Times New Roman" w:cs="Times New Roman"/>
          <w:color w:val="000000"/>
        </w:rPr>
        <w:t>大力优化营商环境</w:t>
      </w:r>
      <w:r>
        <w:rPr>
          <w:rFonts w:hint="eastAsia" w:ascii="Times New Roman" w:hAnsi="Times New Roman" w:cs="Times New Roman"/>
          <w:color w:val="000000"/>
          <w:lang w:eastAsia="zh-CN"/>
        </w:rPr>
        <w:t>。</w:t>
      </w:r>
    </w:p>
    <w:p>
      <w:pPr>
        <w:pStyle w:val="10"/>
        <w:widowControl/>
        <w:wordWrap/>
        <w:adjustRightInd/>
        <w:snapToGrid/>
        <w:spacing w:line="520" w:lineRule="exact"/>
        <w:ind w:left="0" w:leftChars="0" w:right="0"/>
        <w:textAlignment w:val="auto"/>
        <w:rPr>
          <w:color w:val="000000"/>
        </w:rPr>
      </w:pPr>
      <w:r>
        <w:rPr>
          <w:color w:val="000000"/>
        </w:rPr>
        <w:t>绩效指标：</w:t>
      </w:r>
      <w:r>
        <w:rPr>
          <w:rFonts w:hint="eastAsia"/>
          <w:color w:val="000000"/>
        </w:rPr>
        <w:t>协助完成</w:t>
      </w:r>
      <w:r>
        <w:rPr>
          <w:color w:val="000000"/>
        </w:rPr>
        <w:t>自然资源统一确权登记工作按照省厅要求时间节点分阶段铺开</w:t>
      </w:r>
      <w:r>
        <w:rPr>
          <w:rFonts w:hint="eastAsia"/>
          <w:color w:val="000000"/>
          <w:lang w:eastAsia="zh-CN"/>
        </w:rPr>
        <w:t>，</w:t>
      </w:r>
      <w:r>
        <w:rPr>
          <w:rFonts w:hint="eastAsia"/>
          <w:color w:val="000000"/>
        </w:rPr>
        <w:t>大力优化营商环境；持续提升不动产登记便利度。</w:t>
      </w:r>
    </w:p>
    <w:p>
      <w:pPr>
        <w:widowControl/>
        <w:wordWrap/>
        <w:adjustRightInd/>
        <w:snapToGrid/>
        <w:spacing w:before="10" w:after="10" w:line="520" w:lineRule="exact"/>
        <w:ind w:left="0" w:leftChars="0" w:right="0" w:firstLine="560"/>
        <w:jc w:val="left"/>
        <w:textAlignment w:val="auto"/>
        <w:outlineLvl w:val="1"/>
        <w:rPr>
          <w:color w:val="000000"/>
        </w:rPr>
      </w:pPr>
      <w:bookmarkStart w:id="2" w:name="_Toc_2_2_0000000003"/>
      <w:r>
        <w:rPr>
          <w:rFonts w:ascii="方正黑体_GBK" w:hAnsi="方正黑体_GBK" w:eastAsia="方正黑体_GBK" w:cs="方正黑体_GBK"/>
          <w:color w:val="000000"/>
          <w:sz w:val="28"/>
        </w:rPr>
        <w:t>三、工作保障措施</w:t>
      </w:r>
      <w:bookmarkEnd w:id="2"/>
    </w:p>
    <w:p>
      <w:pPr>
        <w:pStyle w:val="11"/>
        <w:widowControl/>
        <w:wordWrap/>
        <w:adjustRightInd/>
        <w:snapToGrid/>
        <w:spacing w:line="520" w:lineRule="exact"/>
        <w:ind w:left="0" w:leftChars="0" w:right="0"/>
        <w:textAlignment w:val="auto"/>
      </w:pPr>
      <w:r>
        <w:t>（一）完善制度建设。编制了《承德市</w:t>
      </w:r>
      <w:r>
        <w:rPr>
          <w:rFonts w:hint="eastAsia"/>
          <w:lang w:eastAsia="zh-CN"/>
        </w:rPr>
        <w:t>不动产登记中心</w:t>
      </w:r>
      <w:r>
        <w:t>内部控制规范工作手册》、印发了《承德市</w:t>
      </w:r>
      <w:r>
        <w:rPr>
          <w:rFonts w:hint="eastAsia"/>
          <w:lang w:eastAsia="zh-CN"/>
        </w:rPr>
        <w:t>不动产登记中心</w:t>
      </w:r>
      <w:r>
        <w:t>预算项目绩效自评管理办法》、《预算绩效重点评价管理办法》为适应预算绩效管理改革提供了政策遵循。成立由</w:t>
      </w:r>
      <w:r>
        <w:rPr>
          <w:rFonts w:hint="eastAsia"/>
          <w:lang w:eastAsia="zh-CN"/>
        </w:rPr>
        <w:t>中心</w:t>
      </w:r>
      <w:r>
        <w:t>主要领导同志任组长的预算绩效工作领导小组，建立统筹协调，分工协作，密切配合，合理推进的工作机制，围绕年度总体绩效目标和分类绩效目标，细化工作方案，明确责任主体，实施进度要求，确保如期完成。</w:t>
      </w:r>
    </w:p>
    <w:p>
      <w:pPr>
        <w:pStyle w:val="11"/>
        <w:widowControl/>
        <w:wordWrap/>
        <w:adjustRightInd/>
        <w:snapToGrid/>
        <w:spacing w:line="520" w:lineRule="exact"/>
        <w:ind w:left="0" w:leftChars="0" w:right="0"/>
        <w:textAlignment w:val="auto"/>
      </w:pPr>
      <w:r>
        <w:t>（二）强化绩效监控评价管理。进一步提升预算绩效管理工作水平，按要求开展绩效运行监控，发现问题及时整改，确保实现绩效目标指标，发挥资金使用效益。及时开展上年度部门预算绩效自评和重点评价，对评价中发现的问题及时整改。运用评价结果，对年度资金项目开展成本效益评估分析，为调整优化支出结构，加强源头管理提供借鉴参考。</w:t>
      </w:r>
    </w:p>
    <w:p>
      <w:pPr>
        <w:pStyle w:val="11"/>
        <w:widowControl/>
        <w:wordWrap/>
        <w:adjustRightInd/>
        <w:snapToGrid/>
        <w:spacing w:line="520" w:lineRule="exact"/>
        <w:ind w:left="0" w:leftChars="0" w:right="0"/>
        <w:textAlignment w:val="auto"/>
      </w:pPr>
      <w:r>
        <w:t>（三）严格执行预算。强化项目主管科室首要责任、主体责任，督促项目单位提高预算执行进度。严格执行预算，规范拨付支出资金，避免调整预算，确保预算执行进度达标。</w:t>
      </w:r>
    </w:p>
    <w:p>
      <w:pPr>
        <w:pStyle w:val="11"/>
        <w:widowControl/>
        <w:wordWrap/>
        <w:adjustRightInd/>
        <w:snapToGrid/>
        <w:spacing w:line="520" w:lineRule="exact"/>
        <w:ind w:left="0" w:leftChars="0" w:right="0"/>
        <w:textAlignment w:val="auto"/>
      </w:pPr>
      <w:r>
        <w:t>（四）规范监督管理。加强内部控制建设，建立</w:t>
      </w:r>
      <w:r>
        <w:rPr>
          <w:rFonts w:hint="eastAsia"/>
          <w:lang w:eastAsia="zh-CN"/>
        </w:rPr>
        <w:t>中心</w:t>
      </w:r>
      <w:r>
        <w:t>财务管理制度体系，严格审批程序，做到支出合理，财尽其用、物尽其用。按要求开展绩效目标实现程度和预算执行进度“双监控”，严格内部审计，并配合审计、财政监督等外部监督工作，确保财政资金使用安全有效。</w:t>
      </w:r>
    </w:p>
    <w:p>
      <w:pPr>
        <w:widowControl/>
        <w:wordWrap/>
        <w:adjustRightInd/>
        <w:snapToGrid/>
        <w:spacing w:before="0" w:after="0" w:line="520" w:lineRule="exact"/>
        <w:ind w:left="0" w:leftChars="0" w:right="0" w:firstLine="0"/>
        <w:jc w:val="center"/>
        <w:textAlignment w:val="auto"/>
        <w:outlineLvl w:val="9"/>
        <w:sectPr>
          <w:footerReference r:id="rId12" w:type="default"/>
          <w:footerReference r:id="rId13" w:type="even"/>
          <w:pgSz w:w="11900" w:h="16840"/>
          <w:pgMar w:top="1984" w:right="1304" w:bottom="1134" w:left="1304" w:header="720" w:footer="720" w:gutter="0"/>
          <w:pgNumType w:fmt="decimal"/>
          <w:cols w:space="720" w:num="1"/>
        </w:sectPr>
      </w:pPr>
      <w:r>
        <w:rPr>
          <w:rFonts w:ascii="方正书宋_GBK" w:hAnsi="方正书宋_GBK" w:eastAsia="方正书宋_GBK" w:cs="方正书宋_GBK"/>
          <w:color w:val="000000"/>
          <w:sz w:val="21"/>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52"/>
        </w:rPr>
        <w:t xml:space="preserve"> </w:t>
      </w:r>
    </w:p>
    <w:p>
      <w:pPr>
        <w:spacing w:before="0" w:after="0" w:line="240" w:lineRule="auto"/>
        <w:ind w:firstLine="0"/>
        <w:jc w:val="center"/>
        <w:outlineLvl w:val="9"/>
      </w:pPr>
      <w:r>
        <w:rPr>
          <w:rFonts w:ascii="方正小标宋_GBK" w:hAnsi="方正小标宋_GBK" w:eastAsia="方正小标宋_GBK" w:cs="方正小标宋_GBK"/>
          <w:color w:val="000000"/>
          <w:sz w:val="44"/>
        </w:rPr>
        <w:t>第二部分</w:t>
      </w:r>
    </w:p>
    <w:p>
      <w:pPr>
        <w:spacing w:before="0" w:after="0" w:line="240" w:lineRule="auto"/>
        <w:ind w:firstLine="0"/>
        <w:jc w:val="center"/>
        <w:outlineLvl w:val="9"/>
      </w:pPr>
      <w:r>
        <w:rPr>
          <w:rFonts w:ascii="方正小标宋_GBK" w:hAnsi="方正小标宋_GBK" w:eastAsia="方正小标宋_GBK" w:cs="方正小标宋_GBK"/>
          <w:color w:val="000000"/>
          <w:sz w:val="44"/>
        </w:rPr>
        <w:t xml:space="preserve"> </w:t>
      </w:r>
    </w:p>
    <w:p>
      <w:pPr>
        <w:spacing w:before="0" w:after="0" w:line="240" w:lineRule="auto"/>
        <w:ind w:firstLine="0"/>
        <w:jc w:val="center"/>
        <w:outlineLvl w:val="0"/>
      </w:pPr>
      <w:r>
        <w:rPr>
          <w:rFonts w:ascii="方正小标宋_GBK" w:hAnsi="方正小标宋_GBK" w:eastAsia="方正小标宋_GBK" w:cs="方正小标宋_GBK"/>
          <w:color w:val="000000"/>
          <w:sz w:val="44"/>
        </w:rPr>
        <w:t>预算项目绩效目标</w:t>
      </w:r>
    </w:p>
    <w:p>
      <w:pPr>
        <w:spacing w:before="0" w:after="0" w:line="240" w:lineRule="auto"/>
        <w:ind w:firstLine="0"/>
        <w:jc w:val="center"/>
        <w:outlineLvl w:val="9"/>
        <w:sectPr>
          <w:pgSz w:w="11900" w:h="16840"/>
          <w:pgMar w:top="1984" w:right="1304" w:bottom="1134" w:left="1304" w:header="720" w:footer="720" w:gutter="0"/>
          <w:pgNumType w:fmt="decimal"/>
          <w:cols w:space="720" w:num="1"/>
        </w:sectPr>
      </w:pPr>
      <w:r>
        <w:rPr>
          <w:rFonts w:ascii="方正书宋_GBK" w:hAnsi="方正书宋_GBK" w:eastAsia="方正书宋_GBK" w:cs="方正书宋_GBK"/>
          <w:color w:val="000000"/>
          <w:sz w:val="21"/>
        </w:rPr>
        <w:t xml:space="preserve"> </w:t>
      </w:r>
    </w:p>
    <w:p>
      <w:pPr>
        <w:ind w:firstLine="560"/>
      </w:pPr>
      <w:r>
        <w:rPr>
          <w:rFonts w:ascii="方正仿宋_GBK" w:hAnsi="方正仿宋_GBK" w:eastAsia="方正仿宋_GBK" w:cs="方正仿宋_GBK"/>
          <w:b/>
          <w:color w:val="000000"/>
          <w:sz w:val="28"/>
        </w:rPr>
        <w:t>1、2023年度不动产登记档案室运转经费项目绩效目标表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办公场所面积</w:t>
            </w:r>
          </w:p>
        </w:tc>
        <w:tc>
          <w:tcPr>
            <w:tcW w:w="2835" w:type="dxa"/>
            <w:vAlign w:val="center"/>
          </w:tcPr>
          <w:p>
            <w:pPr>
              <w:pStyle w:val="14"/>
            </w:pPr>
            <w:r>
              <w:t>反映保障单位办公场所面积情况</w:t>
            </w:r>
          </w:p>
        </w:tc>
        <w:tc>
          <w:tcPr>
            <w:tcW w:w="2551" w:type="dxa"/>
            <w:vAlign w:val="center"/>
          </w:tcPr>
          <w:p>
            <w:pPr>
              <w:pStyle w:val="14"/>
            </w:pPr>
            <w:r>
              <w:t>936平方米</w:t>
            </w:r>
          </w:p>
        </w:tc>
        <w:tc>
          <w:tcPr>
            <w:tcW w:w="2268" w:type="dxa"/>
            <w:vAlign w:val="center"/>
          </w:tcPr>
          <w:p>
            <w:pPr>
              <w:pStyle w:val="14"/>
            </w:pPr>
            <w:r>
              <w:t>历史同期水平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工作日保障单位运转</w:t>
            </w:r>
          </w:p>
        </w:tc>
        <w:tc>
          <w:tcPr>
            <w:tcW w:w="2835" w:type="dxa"/>
            <w:vAlign w:val="center"/>
          </w:tcPr>
          <w:p>
            <w:pPr>
              <w:pStyle w:val="14"/>
            </w:pPr>
            <w:r>
              <w:t>工作日保障单位运转</w:t>
            </w:r>
          </w:p>
        </w:tc>
        <w:tc>
          <w:tcPr>
            <w:tcW w:w="2551" w:type="dxa"/>
            <w:vAlign w:val="center"/>
          </w:tcPr>
          <w:p>
            <w:pPr>
              <w:pStyle w:val="14"/>
            </w:pPr>
            <w:r>
              <w:t>≥8小时</w:t>
            </w:r>
          </w:p>
        </w:tc>
        <w:tc>
          <w:tcPr>
            <w:tcW w:w="2268" w:type="dxa"/>
            <w:vAlign w:val="center"/>
          </w:tcPr>
          <w:p>
            <w:pPr>
              <w:pStyle w:val="14"/>
            </w:pPr>
            <w:r>
              <w:t>行政事业单位法定工作时间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经费支出准确率</w:t>
            </w:r>
          </w:p>
        </w:tc>
        <w:tc>
          <w:tcPr>
            <w:tcW w:w="2835" w:type="dxa"/>
            <w:vAlign w:val="center"/>
          </w:tcPr>
          <w:p>
            <w:pPr>
              <w:pStyle w:val="14"/>
            </w:pPr>
            <w:r>
              <w:t>经费支出符合财务管理制度要求</w:t>
            </w:r>
          </w:p>
        </w:tc>
        <w:tc>
          <w:tcPr>
            <w:tcW w:w="2551" w:type="dxa"/>
            <w:vAlign w:val="center"/>
          </w:tcPr>
          <w:p>
            <w:pPr>
              <w:pStyle w:val="14"/>
            </w:pPr>
            <w:r>
              <w:t>100%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按时间进度要求支付使用资金</w:t>
            </w:r>
          </w:p>
        </w:tc>
        <w:tc>
          <w:tcPr>
            <w:tcW w:w="2835" w:type="dxa"/>
            <w:vAlign w:val="center"/>
          </w:tcPr>
          <w:p>
            <w:pPr>
              <w:pStyle w:val="14"/>
            </w:pPr>
            <w:r>
              <w:t>按时间进度要求支付使用资金</w:t>
            </w:r>
          </w:p>
        </w:tc>
        <w:tc>
          <w:tcPr>
            <w:tcW w:w="2551" w:type="dxa"/>
            <w:vAlign w:val="center"/>
          </w:tcPr>
          <w:p>
            <w:pPr>
              <w:pStyle w:val="14"/>
            </w:pPr>
            <w:r>
              <w:t>及时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总成本控制率</w:t>
            </w:r>
          </w:p>
        </w:tc>
        <w:tc>
          <w:tcPr>
            <w:tcW w:w="2835" w:type="dxa"/>
            <w:vAlign w:val="center"/>
          </w:tcPr>
          <w:p>
            <w:pPr>
              <w:pStyle w:val="14"/>
            </w:pPr>
            <w:r>
              <w:t>各项经费成本实际支出/各项经费预算数</w:t>
            </w:r>
          </w:p>
        </w:tc>
        <w:tc>
          <w:tcPr>
            <w:tcW w:w="2551" w:type="dxa"/>
            <w:vAlign w:val="center"/>
          </w:tcPr>
          <w:p>
            <w:pPr>
              <w:pStyle w:val="14"/>
            </w:pPr>
            <w:r>
              <w:t>≤95%</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单位正常办公条件保障情况</w:t>
            </w:r>
          </w:p>
        </w:tc>
        <w:tc>
          <w:tcPr>
            <w:tcW w:w="2835" w:type="dxa"/>
            <w:vAlign w:val="center"/>
          </w:tcPr>
          <w:p>
            <w:pPr>
              <w:pStyle w:val="14"/>
            </w:pPr>
            <w:r>
              <w:t>保障单位正常办公条件，保障单位正常运转</w:t>
            </w:r>
          </w:p>
        </w:tc>
        <w:tc>
          <w:tcPr>
            <w:tcW w:w="2551" w:type="dxa"/>
            <w:vAlign w:val="center"/>
          </w:tcPr>
          <w:p>
            <w:pPr>
              <w:pStyle w:val="14"/>
            </w:pPr>
            <w:r>
              <w:t>良好</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系统建成能够长期稳定保障平台顺利进行，保障不动产登记工作正常运转。</w:t>
            </w:r>
          </w:p>
        </w:tc>
        <w:tc>
          <w:tcPr>
            <w:tcW w:w="2551" w:type="dxa"/>
            <w:vAlign w:val="center"/>
          </w:tcPr>
          <w:p>
            <w:pPr>
              <w:pStyle w:val="14"/>
            </w:pPr>
            <w:r>
              <w:t>长期提供</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机关工作人员满意度</w:t>
            </w:r>
          </w:p>
        </w:tc>
        <w:tc>
          <w:tcPr>
            <w:tcW w:w="2835" w:type="dxa"/>
            <w:vAlign w:val="center"/>
          </w:tcPr>
          <w:p>
            <w:pPr>
              <w:pStyle w:val="14"/>
            </w:pPr>
            <w:r>
              <w:t>机关工作人员满意度</w:t>
            </w:r>
          </w:p>
        </w:tc>
        <w:tc>
          <w:tcPr>
            <w:tcW w:w="2551" w:type="dxa"/>
            <w:vAlign w:val="center"/>
          </w:tcPr>
          <w:p>
            <w:pPr>
              <w:pStyle w:val="14"/>
            </w:pPr>
            <w:r>
              <w:t>≥95%</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2、2023年度不动产登记受理及档案管理经费项目绩效目标表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印刷档案封皮数量</w:t>
            </w:r>
          </w:p>
        </w:tc>
        <w:tc>
          <w:tcPr>
            <w:tcW w:w="2835" w:type="dxa"/>
            <w:vAlign w:val="center"/>
          </w:tcPr>
          <w:p>
            <w:pPr>
              <w:pStyle w:val="14"/>
            </w:pPr>
            <w:r>
              <w:t>印刷档案封皮数量</w:t>
            </w:r>
          </w:p>
        </w:tc>
        <w:tc>
          <w:tcPr>
            <w:tcW w:w="2551" w:type="dxa"/>
            <w:vAlign w:val="center"/>
          </w:tcPr>
          <w:p>
            <w:pPr>
              <w:pStyle w:val="14"/>
            </w:pPr>
            <w:r>
              <w:t>50000张</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印刷目录数量</w:t>
            </w:r>
          </w:p>
        </w:tc>
        <w:tc>
          <w:tcPr>
            <w:tcW w:w="2835" w:type="dxa"/>
            <w:vAlign w:val="center"/>
          </w:tcPr>
          <w:p>
            <w:pPr>
              <w:pStyle w:val="14"/>
            </w:pPr>
            <w:r>
              <w:t>印刷目录数量</w:t>
            </w:r>
          </w:p>
        </w:tc>
        <w:tc>
          <w:tcPr>
            <w:tcW w:w="2551" w:type="dxa"/>
            <w:vAlign w:val="center"/>
          </w:tcPr>
          <w:p>
            <w:pPr>
              <w:pStyle w:val="14"/>
            </w:pPr>
            <w:r>
              <w:t>30000张</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印刷普通档案袋数量</w:t>
            </w:r>
          </w:p>
        </w:tc>
        <w:tc>
          <w:tcPr>
            <w:tcW w:w="2835" w:type="dxa"/>
            <w:vAlign w:val="center"/>
          </w:tcPr>
          <w:p>
            <w:pPr>
              <w:pStyle w:val="14"/>
            </w:pPr>
            <w:r>
              <w:t>印刷普通档案袋数量</w:t>
            </w:r>
          </w:p>
        </w:tc>
        <w:tc>
          <w:tcPr>
            <w:tcW w:w="2551" w:type="dxa"/>
            <w:vAlign w:val="center"/>
          </w:tcPr>
          <w:p>
            <w:pPr>
              <w:pStyle w:val="14"/>
            </w:pPr>
            <w:r>
              <w:t>15000个</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印刷他项权利档案袋数量</w:t>
            </w:r>
          </w:p>
        </w:tc>
        <w:tc>
          <w:tcPr>
            <w:tcW w:w="2835" w:type="dxa"/>
            <w:vAlign w:val="center"/>
          </w:tcPr>
          <w:p>
            <w:pPr>
              <w:pStyle w:val="14"/>
            </w:pPr>
            <w:r>
              <w:t>印刷他项权利档案袋数量</w:t>
            </w:r>
          </w:p>
        </w:tc>
        <w:tc>
          <w:tcPr>
            <w:tcW w:w="2551" w:type="dxa"/>
            <w:vAlign w:val="center"/>
          </w:tcPr>
          <w:p>
            <w:pPr>
              <w:pStyle w:val="14"/>
            </w:pPr>
            <w:r>
              <w:t>50000个</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印刷质量达标率</w:t>
            </w:r>
          </w:p>
        </w:tc>
        <w:tc>
          <w:tcPr>
            <w:tcW w:w="2835" w:type="dxa"/>
            <w:vAlign w:val="center"/>
          </w:tcPr>
          <w:p>
            <w:pPr>
              <w:pStyle w:val="14"/>
            </w:pPr>
            <w:r>
              <w:t>考察印刷质量达标情况，印刷纸质、墨粉是否达到相关标准</w:t>
            </w:r>
          </w:p>
        </w:tc>
        <w:tc>
          <w:tcPr>
            <w:tcW w:w="2551" w:type="dxa"/>
            <w:vAlign w:val="center"/>
          </w:tcPr>
          <w:p>
            <w:pPr>
              <w:pStyle w:val="14"/>
            </w:pPr>
            <w:r>
              <w:t>100%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印刷及时性</w:t>
            </w:r>
          </w:p>
        </w:tc>
        <w:tc>
          <w:tcPr>
            <w:tcW w:w="2835" w:type="dxa"/>
            <w:vAlign w:val="center"/>
          </w:tcPr>
          <w:p>
            <w:pPr>
              <w:pStyle w:val="14"/>
            </w:pPr>
            <w:r>
              <w:t>反映印刷是否及时，是否在规定时间内完成印刷</w:t>
            </w:r>
          </w:p>
        </w:tc>
        <w:tc>
          <w:tcPr>
            <w:tcW w:w="2551" w:type="dxa"/>
            <w:vAlign w:val="center"/>
          </w:tcPr>
          <w:p>
            <w:pPr>
              <w:pStyle w:val="14"/>
            </w:pPr>
            <w:r>
              <w:t xml:space="preserve">及时 </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成本控制率</w:t>
            </w:r>
          </w:p>
        </w:tc>
        <w:tc>
          <w:tcPr>
            <w:tcW w:w="2835" w:type="dxa"/>
            <w:vAlign w:val="center"/>
          </w:tcPr>
          <w:p>
            <w:pPr>
              <w:pStyle w:val="14"/>
            </w:pPr>
            <w:r>
              <w:t>各项经费实际支出数/预算下达数*100%</w:t>
            </w:r>
          </w:p>
        </w:tc>
        <w:tc>
          <w:tcPr>
            <w:tcW w:w="2551" w:type="dxa"/>
            <w:vAlign w:val="center"/>
          </w:tcPr>
          <w:p>
            <w:pPr>
              <w:pStyle w:val="14"/>
            </w:pPr>
            <w:r>
              <w:t>≤90%</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单位正常办公条件保障情况</w:t>
            </w:r>
          </w:p>
        </w:tc>
        <w:tc>
          <w:tcPr>
            <w:tcW w:w="2835" w:type="dxa"/>
            <w:vAlign w:val="center"/>
          </w:tcPr>
          <w:p>
            <w:pPr>
              <w:pStyle w:val="14"/>
            </w:pPr>
            <w:r>
              <w:t>保障单位正常办公条件，保障单位正常运转</w:t>
            </w:r>
          </w:p>
        </w:tc>
        <w:tc>
          <w:tcPr>
            <w:tcW w:w="2551" w:type="dxa"/>
            <w:vAlign w:val="center"/>
          </w:tcPr>
          <w:p>
            <w:pPr>
              <w:pStyle w:val="14"/>
            </w:pPr>
            <w:r>
              <w:t>良好</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基本公共服务水平</w:t>
            </w:r>
          </w:p>
        </w:tc>
        <w:tc>
          <w:tcPr>
            <w:tcW w:w="2835" w:type="dxa"/>
            <w:vAlign w:val="center"/>
          </w:tcPr>
          <w:p>
            <w:pPr>
              <w:pStyle w:val="14"/>
            </w:pPr>
            <w:r>
              <w:t>基本公共服务水平</w:t>
            </w:r>
          </w:p>
        </w:tc>
        <w:tc>
          <w:tcPr>
            <w:tcW w:w="2551" w:type="dxa"/>
            <w:vAlign w:val="center"/>
          </w:tcPr>
          <w:p>
            <w:pPr>
              <w:pStyle w:val="14"/>
            </w:pPr>
            <w:r>
              <w:t>≥90%</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使用人员满意度</w:t>
            </w:r>
          </w:p>
        </w:tc>
        <w:tc>
          <w:tcPr>
            <w:tcW w:w="2835" w:type="dxa"/>
            <w:vAlign w:val="center"/>
          </w:tcPr>
          <w:p>
            <w:pPr>
              <w:pStyle w:val="14"/>
            </w:pPr>
            <w:r>
              <w:t>使用人员满意度</w:t>
            </w:r>
          </w:p>
        </w:tc>
        <w:tc>
          <w:tcPr>
            <w:tcW w:w="2551" w:type="dxa"/>
            <w:vAlign w:val="center"/>
          </w:tcPr>
          <w:p>
            <w:pPr>
              <w:pStyle w:val="14"/>
            </w:pPr>
            <w:r>
              <w:t>≥90%</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3、2023年度不动产登记数据整合维护经费项目绩效目标表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软件维护数量</w:t>
            </w:r>
          </w:p>
        </w:tc>
        <w:tc>
          <w:tcPr>
            <w:tcW w:w="2835" w:type="dxa"/>
            <w:vAlign w:val="center"/>
          </w:tcPr>
          <w:p>
            <w:pPr>
              <w:pStyle w:val="14"/>
            </w:pPr>
            <w:r>
              <w:t>需要维护的软件数量情况</w:t>
            </w:r>
          </w:p>
        </w:tc>
        <w:tc>
          <w:tcPr>
            <w:tcW w:w="2551" w:type="dxa"/>
            <w:vAlign w:val="center"/>
          </w:tcPr>
          <w:p>
            <w:pPr>
              <w:pStyle w:val="14"/>
            </w:pPr>
            <w:r>
              <w:t>1个</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故障排除率</w:t>
            </w:r>
          </w:p>
        </w:tc>
        <w:tc>
          <w:tcPr>
            <w:tcW w:w="2835" w:type="dxa"/>
            <w:vAlign w:val="center"/>
          </w:tcPr>
          <w:p>
            <w:pPr>
              <w:pStyle w:val="14"/>
            </w:pPr>
            <w:r>
              <w:t>故障排除率=排除故障次数/故障发生次数*100%</w:t>
            </w:r>
          </w:p>
        </w:tc>
        <w:tc>
          <w:tcPr>
            <w:tcW w:w="2551" w:type="dxa"/>
            <w:vAlign w:val="center"/>
          </w:tcPr>
          <w:p>
            <w:pPr>
              <w:pStyle w:val="14"/>
            </w:pPr>
            <w:r>
              <w:t>≥90%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系统故障处理及时性</w:t>
            </w:r>
          </w:p>
        </w:tc>
        <w:tc>
          <w:tcPr>
            <w:tcW w:w="2835" w:type="dxa"/>
            <w:vAlign w:val="center"/>
          </w:tcPr>
          <w:p>
            <w:pPr>
              <w:pStyle w:val="14"/>
            </w:pPr>
            <w:r>
              <w:t>系统故障发生1个小时内进行处理</w:t>
            </w:r>
          </w:p>
        </w:tc>
        <w:tc>
          <w:tcPr>
            <w:tcW w:w="2551" w:type="dxa"/>
            <w:vAlign w:val="center"/>
          </w:tcPr>
          <w:p>
            <w:pPr>
              <w:pStyle w:val="14"/>
            </w:pPr>
            <w:r>
              <w:t>≤1小时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维护成本控制率</w:t>
            </w:r>
          </w:p>
        </w:tc>
        <w:tc>
          <w:tcPr>
            <w:tcW w:w="2835" w:type="dxa"/>
            <w:vAlign w:val="center"/>
          </w:tcPr>
          <w:p>
            <w:pPr>
              <w:pStyle w:val="14"/>
            </w:pPr>
            <w:r>
              <w:t>维护经费实际支出数/预算下达数*100%</w:t>
            </w:r>
          </w:p>
        </w:tc>
        <w:tc>
          <w:tcPr>
            <w:tcW w:w="2551" w:type="dxa"/>
            <w:vAlign w:val="center"/>
          </w:tcPr>
          <w:p>
            <w:pPr>
              <w:pStyle w:val="14"/>
            </w:pPr>
            <w:r>
              <w:t>≤100%</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提升不动产登记系统故障处理能力</w:t>
            </w:r>
          </w:p>
        </w:tc>
        <w:tc>
          <w:tcPr>
            <w:tcW w:w="2835" w:type="dxa"/>
            <w:vAlign w:val="center"/>
          </w:tcPr>
          <w:p>
            <w:pPr>
              <w:pStyle w:val="14"/>
            </w:pPr>
            <w:r>
              <w:t>提升不动产登记系统故障处理能力，保障不动产登记工作正常开展</w:t>
            </w:r>
          </w:p>
        </w:tc>
        <w:tc>
          <w:tcPr>
            <w:tcW w:w="2551" w:type="dxa"/>
            <w:vAlign w:val="center"/>
          </w:tcPr>
          <w:p>
            <w:pPr>
              <w:pStyle w:val="14"/>
            </w:pPr>
            <w:r>
              <w:t>巩固提升</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提供长期稳定服务</w:t>
            </w:r>
          </w:p>
        </w:tc>
        <w:tc>
          <w:tcPr>
            <w:tcW w:w="2551" w:type="dxa"/>
            <w:vAlign w:val="center"/>
          </w:tcPr>
          <w:p>
            <w:pPr>
              <w:pStyle w:val="14"/>
            </w:pPr>
            <w:r>
              <w:t>可持续</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用户满意度</w:t>
            </w:r>
          </w:p>
        </w:tc>
        <w:tc>
          <w:tcPr>
            <w:tcW w:w="2835" w:type="dxa"/>
            <w:vAlign w:val="center"/>
          </w:tcPr>
          <w:p>
            <w:pPr>
              <w:pStyle w:val="14"/>
            </w:pPr>
            <w:r>
              <w:t>调查中用户反馈满意和较满意的数量占调查用户总数量的比率</w:t>
            </w:r>
          </w:p>
        </w:tc>
        <w:tc>
          <w:tcPr>
            <w:tcW w:w="2551" w:type="dxa"/>
            <w:vAlign w:val="center"/>
          </w:tcPr>
          <w:p>
            <w:pPr>
              <w:pStyle w:val="14"/>
            </w:pPr>
            <w:r>
              <w:t>≤95%</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4、2023年度承德市不动产登记中心（营子区分中心）不动产登记服务项目经费项目绩效目标表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补充工作人员人数</w:t>
            </w:r>
          </w:p>
        </w:tc>
        <w:tc>
          <w:tcPr>
            <w:tcW w:w="2835" w:type="dxa"/>
            <w:vAlign w:val="center"/>
          </w:tcPr>
          <w:p>
            <w:pPr>
              <w:pStyle w:val="14"/>
            </w:pPr>
            <w:r>
              <w:t>反映保障补充工作人员人数情况</w:t>
            </w:r>
          </w:p>
        </w:tc>
        <w:tc>
          <w:tcPr>
            <w:tcW w:w="2551" w:type="dxa"/>
            <w:vAlign w:val="center"/>
          </w:tcPr>
          <w:p>
            <w:pPr>
              <w:pStyle w:val="14"/>
            </w:pPr>
            <w:r>
              <w:t>4人</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数量指标</w:t>
            </w:r>
          </w:p>
        </w:tc>
        <w:tc>
          <w:tcPr>
            <w:tcW w:w="2835" w:type="dxa"/>
            <w:vAlign w:val="center"/>
          </w:tcPr>
          <w:p>
            <w:pPr>
              <w:pStyle w:val="14"/>
            </w:pPr>
            <w:r>
              <w:t>工作日保障单位运转</w:t>
            </w:r>
          </w:p>
        </w:tc>
        <w:tc>
          <w:tcPr>
            <w:tcW w:w="2835" w:type="dxa"/>
            <w:vAlign w:val="center"/>
          </w:tcPr>
          <w:p>
            <w:pPr>
              <w:pStyle w:val="14"/>
            </w:pPr>
            <w:r>
              <w:t>工作日保障单位运转</w:t>
            </w:r>
          </w:p>
        </w:tc>
        <w:tc>
          <w:tcPr>
            <w:tcW w:w="2551" w:type="dxa"/>
            <w:vAlign w:val="center"/>
          </w:tcPr>
          <w:p>
            <w:pPr>
              <w:pStyle w:val="14"/>
            </w:pPr>
            <w:r>
              <w:t>≥80%</w:t>
            </w:r>
          </w:p>
        </w:tc>
        <w:tc>
          <w:tcPr>
            <w:tcW w:w="2268" w:type="dxa"/>
            <w:vAlign w:val="center"/>
          </w:tcPr>
          <w:p>
            <w:pPr>
              <w:pStyle w:val="14"/>
            </w:pPr>
            <w:r>
              <w:t>行政事业单位法定工作时间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经费支出准确率</w:t>
            </w:r>
          </w:p>
        </w:tc>
        <w:tc>
          <w:tcPr>
            <w:tcW w:w="2835" w:type="dxa"/>
            <w:vAlign w:val="center"/>
          </w:tcPr>
          <w:p>
            <w:pPr>
              <w:pStyle w:val="14"/>
            </w:pPr>
            <w:r>
              <w:t>经费支出符合财务管理制度要求</w:t>
            </w:r>
          </w:p>
        </w:tc>
        <w:tc>
          <w:tcPr>
            <w:tcW w:w="2551" w:type="dxa"/>
            <w:vAlign w:val="center"/>
          </w:tcPr>
          <w:p>
            <w:pPr>
              <w:pStyle w:val="14"/>
            </w:pPr>
            <w:r>
              <w:t>100%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按时间进度要求支付使用资金</w:t>
            </w:r>
          </w:p>
        </w:tc>
        <w:tc>
          <w:tcPr>
            <w:tcW w:w="2835" w:type="dxa"/>
            <w:vAlign w:val="center"/>
          </w:tcPr>
          <w:p>
            <w:pPr>
              <w:pStyle w:val="14"/>
            </w:pPr>
            <w:r>
              <w:t>按时间进度要求支付使用资金</w:t>
            </w:r>
          </w:p>
        </w:tc>
        <w:tc>
          <w:tcPr>
            <w:tcW w:w="2551" w:type="dxa"/>
            <w:vAlign w:val="center"/>
          </w:tcPr>
          <w:p>
            <w:pPr>
              <w:pStyle w:val="14"/>
            </w:pPr>
            <w:r>
              <w:t>及时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项目预算控制数</w:t>
            </w:r>
          </w:p>
        </w:tc>
        <w:tc>
          <w:tcPr>
            <w:tcW w:w="2835" w:type="dxa"/>
            <w:vAlign w:val="center"/>
          </w:tcPr>
          <w:p>
            <w:pPr>
              <w:pStyle w:val="14"/>
            </w:pPr>
            <w:r>
              <w:t>向社会购买行政辅助服务总成本</w:t>
            </w:r>
          </w:p>
        </w:tc>
        <w:tc>
          <w:tcPr>
            <w:tcW w:w="2551" w:type="dxa"/>
            <w:vAlign w:val="center"/>
          </w:tcPr>
          <w:p>
            <w:pPr>
              <w:pStyle w:val="14"/>
            </w:pPr>
            <w:r>
              <w:t>≤21.18万元</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单位登记窗口正常业务办理保障情况</w:t>
            </w:r>
          </w:p>
        </w:tc>
        <w:tc>
          <w:tcPr>
            <w:tcW w:w="2835" w:type="dxa"/>
            <w:vAlign w:val="center"/>
          </w:tcPr>
          <w:p>
            <w:pPr>
              <w:pStyle w:val="14"/>
            </w:pPr>
            <w:r>
              <w:t>保障单位登记窗口业务正常运转</w:t>
            </w:r>
          </w:p>
        </w:tc>
        <w:tc>
          <w:tcPr>
            <w:tcW w:w="2551" w:type="dxa"/>
            <w:vAlign w:val="center"/>
          </w:tcPr>
          <w:p>
            <w:pPr>
              <w:pStyle w:val="14"/>
            </w:pPr>
            <w:r>
              <w:t>良好</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按“三保”政策，工资逐月及时足额发放</w:t>
            </w:r>
          </w:p>
        </w:tc>
        <w:tc>
          <w:tcPr>
            <w:tcW w:w="2835" w:type="dxa"/>
            <w:vAlign w:val="center"/>
          </w:tcPr>
          <w:p>
            <w:pPr>
              <w:pStyle w:val="14"/>
            </w:pPr>
            <w:r>
              <w:t>按“三保”政策，工资逐月及时足额发放</w:t>
            </w:r>
          </w:p>
        </w:tc>
        <w:tc>
          <w:tcPr>
            <w:tcW w:w="2551" w:type="dxa"/>
            <w:vAlign w:val="center"/>
          </w:tcPr>
          <w:p>
            <w:pPr>
              <w:pStyle w:val="14"/>
            </w:pPr>
            <w:r>
              <w:t>可持续</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机关工作人员满意度</w:t>
            </w:r>
          </w:p>
        </w:tc>
        <w:tc>
          <w:tcPr>
            <w:tcW w:w="2835" w:type="dxa"/>
            <w:vAlign w:val="center"/>
          </w:tcPr>
          <w:p>
            <w:pPr>
              <w:pStyle w:val="14"/>
            </w:pPr>
            <w:r>
              <w:t>机关工作人员满意度</w:t>
            </w:r>
          </w:p>
        </w:tc>
        <w:tc>
          <w:tcPr>
            <w:tcW w:w="2551" w:type="dxa"/>
            <w:vAlign w:val="center"/>
          </w:tcPr>
          <w:p>
            <w:pPr>
              <w:pStyle w:val="14"/>
            </w:pPr>
            <w:r>
              <w:t>≥100%</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5、2023年度市本级不动产登记存量数据整合汇交项目经费绩效目标表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软件采购(维护)数量</w:t>
            </w:r>
          </w:p>
        </w:tc>
        <w:tc>
          <w:tcPr>
            <w:tcW w:w="2835" w:type="dxa"/>
            <w:vAlign w:val="center"/>
          </w:tcPr>
          <w:p>
            <w:pPr>
              <w:pStyle w:val="14"/>
            </w:pPr>
            <w:r>
              <w:t>软件采购(维护)数量</w:t>
            </w:r>
          </w:p>
        </w:tc>
        <w:tc>
          <w:tcPr>
            <w:tcW w:w="2551" w:type="dxa"/>
            <w:vAlign w:val="center"/>
          </w:tcPr>
          <w:p>
            <w:pPr>
              <w:pStyle w:val="14"/>
            </w:pPr>
            <w:r>
              <w:t>≥1个</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系统验收合格率</w:t>
            </w:r>
          </w:p>
        </w:tc>
        <w:tc>
          <w:tcPr>
            <w:tcW w:w="2835" w:type="dxa"/>
            <w:vAlign w:val="center"/>
          </w:tcPr>
          <w:p>
            <w:pPr>
              <w:pStyle w:val="14"/>
            </w:pPr>
            <w:r>
              <w:t>系统验收合格情况</w:t>
            </w:r>
          </w:p>
        </w:tc>
        <w:tc>
          <w:tcPr>
            <w:tcW w:w="2551" w:type="dxa"/>
            <w:vAlign w:val="center"/>
          </w:tcPr>
          <w:p>
            <w:pPr>
              <w:pStyle w:val="14"/>
            </w:pPr>
            <w:r>
              <w:t>100%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系统故障处理及时性</w:t>
            </w:r>
          </w:p>
        </w:tc>
        <w:tc>
          <w:tcPr>
            <w:tcW w:w="2835" w:type="dxa"/>
            <w:vAlign w:val="center"/>
          </w:tcPr>
          <w:p>
            <w:pPr>
              <w:pStyle w:val="14"/>
            </w:pPr>
            <w:r>
              <w:t>系统故障发生1小时内进行处理</w:t>
            </w:r>
          </w:p>
        </w:tc>
        <w:tc>
          <w:tcPr>
            <w:tcW w:w="2551" w:type="dxa"/>
            <w:vAlign w:val="center"/>
          </w:tcPr>
          <w:p>
            <w:pPr>
              <w:pStyle w:val="14"/>
            </w:pPr>
            <w:r>
              <w:t>≤1小时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设备购置总成本</w:t>
            </w:r>
          </w:p>
        </w:tc>
        <w:tc>
          <w:tcPr>
            <w:tcW w:w="2835" w:type="dxa"/>
            <w:vAlign w:val="center"/>
          </w:tcPr>
          <w:p>
            <w:pPr>
              <w:pStyle w:val="14"/>
            </w:pPr>
            <w:r>
              <w:t>设备购置总成本</w:t>
            </w:r>
          </w:p>
        </w:tc>
        <w:tc>
          <w:tcPr>
            <w:tcW w:w="2551" w:type="dxa"/>
            <w:vAlign w:val="center"/>
          </w:tcPr>
          <w:p>
            <w:pPr>
              <w:pStyle w:val="14"/>
            </w:pPr>
            <w:r>
              <w:t>≤32万元</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满足数据整合汇交需求</w:t>
            </w:r>
          </w:p>
        </w:tc>
        <w:tc>
          <w:tcPr>
            <w:tcW w:w="2835" w:type="dxa"/>
            <w:vAlign w:val="center"/>
          </w:tcPr>
          <w:p>
            <w:pPr>
              <w:pStyle w:val="14"/>
            </w:pPr>
            <w:r>
              <w:t>按时、保质保量的完成数据整合汇交工作，为不动产登记提供保障。</w:t>
            </w:r>
          </w:p>
        </w:tc>
        <w:tc>
          <w:tcPr>
            <w:tcW w:w="2551" w:type="dxa"/>
            <w:vAlign w:val="center"/>
          </w:tcPr>
          <w:p>
            <w:pPr>
              <w:pStyle w:val="14"/>
            </w:pPr>
            <w:r>
              <w:t>良好</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系统建成能够长期稳定保障数据整合汇交顺利进行，保障不动产登记工作正常运   转。</w:t>
            </w:r>
          </w:p>
        </w:tc>
        <w:tc>
          <w:tcPr>
            <w:tcW w:w="2551" w:type="dxa"/>
            <w:vAlign w:val="center"/>
          </w:tcPr>
          <w:p>
            <w:pPr>
              <w:pStyle w:val="14"/>
            </w:pPr>
            <w:r>
              <w:t>长期提供</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使用人员满意度</w:t>
            </w:r>
          </w:p>
        </w:tc>
        <w:tc>
          <w:tcPr>
            <w:tcW w:w="2835" w:type="dxa"/>
            <w:vAlign w:val="center"/>
          </w:tcPr>
          <w:p>
            <w:pPr>
              <w:pStyle w:val="14"/>
            </w:pPr>
            <w:r>
              <w:t>使用人员满意情况</w:t>
            </w:r>
          </w:p>
        </w:tc>
        <w:tc>
          <w:tcPr>
            <w:tcW w:w="2551" w:type="dxa"/>
            <w:vAlign w:val="center"/>
          </w:tcPr>
          <w:p>
            <w:pPr>
              <w:pStyle w:val="14"/>
            </w:pPr>
            <w:r>
              <w:t>≥90%</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6、2023年度市本级不动产登记信息管理平台建设项目款及维护经费绩效目标表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软件维护数量</w:t>
            </w:r>
          </w:p>
        </w:tc>
        <w:tc>
          <w:tcPr>
            <w:tcW w:w="2835" w:type="dxa"/>
            <w:vAlign w:val="center"/>
          </w:tcPr>
          <w:p>
            <w:pPr>
              <w:pStyle w:val="14"/>
            </w:pPr>
            <w:r>
              <w:t>软件维护数量</w:t>
            </w:r>
          </w:p>
        </w:tc>
        <w:tc>
          <w:tcPr>
            <w:tcW w:w="2551" w:type="dxa"/>
            <w:vAlign w:val="center"/>
          </w:tcPr>
          <w:p>
            <w:pPr>
              <w:pStyle w:val="14"/>
            </w:pPr>
            <w:r>
              <w:t>≥1个</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系统故障处理率</w:t>
            </w:r>
          </w:p>
        </w:tc>
        <w:tc>
          <w:tcPr>
            <w:tcW w:w="2835" w:type="dxa"/>
            <w:vAlign w:val="center"/>
          </w:tcPr>
          <w:p>
            <w:pPr>
              <w:pStyle w:val="14"/>
            </w:pPr>
            <w:r>
              <w:t>系统故障处理率</w:t>
            </w:r>
          </w:p>
        </w:tc>
        <w:tc>
          <w:tcPr>
            <w:tcW w:w="2551" w:type="dxa"/>
            <w:vAlign w:val="center"/>
          </w:tcPr>
          <w:p>
            <w:pPr>
              <w:pStyle w:val="14"/>
            </w:pPr>
            <w:r>
              <w:t>≥90%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系统故障处理及时性</w:t>
            </w:r>
          </w:p>
        </w:tc>
        <w:tc>
          <w:tcPr>
            <w:tcW w:w="2835" w:type="dxa"/>
            <w:vAlign w:val="center"/>
          </w:tcPr>
          <w:p>
            <w:pPr>
              <w:pStyle w:val="14"/>
            </w:pPr>
            <w:r>
              <w:t>系统故障处理及时性</w:t>
            </w:r>
          </w:p>
        </w:tc>
        <w:tc>
          <w:tcPr>
            <w:tcW w:w="2551" w:type="dxa"/>
            <w:vAlign w:val="center"/>
          </w:tcPr>
          <w:p>
            <w:pPr>
              <w:pStyle w:val="14"/>
            </w:pPr>
            <w:r>
              <w:t>≤1小时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成本控制率</w:t>
            </w:r>
          </w:p>
        </w:tc>
        <w:tc>
          <w:tcPr>
            <w:tcW w:w="2835" w:type="dxa"/>
            <w:vAlign w:val="center"/>
          </w:tcPr>
          <w:p>
            <w:pPr>
              <w:pStyle w:val="14"/>
            </w:pPr>
            <w:r>
              <w:t>成本控制率</w:t>
            </w:r>
          </w:p>
        </w:tc>
        <w:tc>
          <w:tcPr>
            <w:tcW w:w="2551" w:type="dxa"/>
            <w:vAlign w:val="center"/>
          </w:tcPr>
          <w:p>
            <w:pPr>
              <w:pStyle w:val="14"/>
            </w:pPr>
            <w:r>
              <w:t>≤95%</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提升不动产登记信息化管理水平</w:t>
            </w:r>
          </w:p>
        </w:tc>
        <w:tc>
          <w:tcPr>
            <w:tcW w:w="2835" w:type="dxa"/>
            <w:vAlign w:val="center"/>
          </w:tcPr>
          <w:p>
            <w:pPr>
              <w:pStyle w:val="14"/>
            </w:pPr>
            <w:r>
              <w:t>提升不动产登记信息化管理水平</w:t>
            </w:r>
          </w:p>
        </w:tc>
        <w:tc>
          <w:tcPr>
            <w:tcW w:w="2551" w:type="dxa"/>
            <w:vAlign w:val="center"/>
          </w:tcPr>
          <w:p>
            <w:pPr>
              <w:pStyle w:val="14"/>
            </w:pPr>
            <w:r>
              <w:t>巩固提升</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提供长期稳定服务</w:t>
            </w:r>
          </w:p>
        </w:tc>
        <w:tc>
          <w:tcPr>
            <w:tcW w:w="2551" w:type="dxa"/>
            <w:vAlign w:val="center"/>
          </w:tcPr>
          <w:p>
            <w:pPr>
              <w:pStyle w:val="14"/>
            </w:pPr>
            <w:r>
              <w:t>长期提供</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使用人员满意度</w:t>
            </w:r>
          </w:p>
        </w:tc>
        <w:tc>
          <w:tcPr>
            <w:tcW w:w="2835" w:type="dxa"/>
            <w:vAlign w:val="center"/>
          </w:tcPr>
          <w:p>
            <w:pPr>
              <w:pStyle w:val="14"/>
            </w:pPr>
            <w:r>
              <w:t>使用人员满意度</w:t>
            </w:r>
          </w:p>
        </w:tc>
        <w:tc>
          <w:tcPr>
            <w:tcW w:w="2551" w:type="dxa"/>
            <w:vAlign w:val="center"/>
          </w:tcPr>
          <w:p>
            <w:pPr>
              <w:pStyle w:val="14"/>
            </w:pPr>
            <w:r>
              <w:t>≥90%</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7、2023年度云平台到各分中心终端的网络线路租金项目经费项目绩效目标表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租用网络线路数量</w:t>
            </w:r>
          </w:p>
        </w:tc>
        <w:tc>
          <w:tcPr>
            <w:tcW w:w="2835" w:type="dxa"/>
            <w:vAlign w:val="center"/>
          </w:tcPr>
          <w:p>
            <w:pPr>
              <w:pStyle w:val="14"/>
            </w:pPr>
            <w:r>
              <w:t>租用网络线路数量情况</w:t>
            </w:r>
          </w:p>
        </w:tc>
        <w:tc>
          <w:tcPr>
            <w:tcW w:w="2551" w:type="dxa"/>
            <w:vAlign w:val="center"/>
          </w:tcPr>
          <w:p>
            <w:pPr>
              <w:pStyle w:val="14"/>
            </w:pPr>
            <w:r>
              <w:t>≥5条</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故障排除率</w:t>
            </w:r>
          </w:p>
        </w:tc>
        <w:tc>
          <w:tcPr>
            <w:tcW w:w="2835" w:type="dxa"/>
            <w:vAlign w:val="center"/>
          </w:tcPr>
          <w:p>
            <w:pPr>
              <w:pStyle w:val="14"/>
            </w:pPr>
            <w:r>
              <w:t>故障排除率=排除故障次数/故障发生次数*100%</w:t>
            </w:r>
          </w:p>
        </w:tc>
        <w:tc>
          <w:tcPr>
            <w:tcW w:w="2551" w:type="dxa"/>
            <w:vAlign w:val="center"/>
          </w:tcPr>
          <w:p>
            <w:pPr>
              <w:pStyle w:val="14"/>
            </w:pPr>
            <w:r>
              <w:t>≥90%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故障处理及时性</w:t>
            </w:r>
          </w:p>
        </w:tc>
        <w:tc>
          <w:tcPr>
            <w:tcW w:w="2835" w:type="dxa"/>
            <w:vAlign w:val="center"/>
          </w:tcPr>
          <w:p>
            <w:pPr>
              <w:pStyle w:val="14"/>
            </w:pPr>
            <w:r>
              <w:t>故障发生XX时间内进行处理</w:t>
            </w:r>
          </w:p>
        </w:tc>
        <w:tc>
          <w:tcPr>
            <w:tcW w:w="2551" w:type="dxa"/>
            <w:vAlign w:val="center"/>
          </w:tcPr>
          <w:p>
            <w:pPr>
              <w:pStyle w:val="14"/>
            </w:pPr>
            <w:r>
              <w:t>≤1小时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线路租用成本</w:t>
            </w:r>
          </w:p>
        </w:tc>
        <w:tc>
          <w:tcPr>
            <w:tcW w:w="2835" w:type="dxa"/>
            <w:vAlign w:val="center"/>
          </w:tcPr>
          <w:p>
            <w:pPr>
              <w:pStyle w:val="14"/>
            </w:pPr>
            <w:r>
              <w:t>线路租用成本</w:t>
            </w:r>
          </w:p>
        </w:tc>
        <w:tc>
          <w:tcPr>
            <w:tcW w:w="2551" w:type="dxa"/>
            <w:vAlign w:val="center"/>
          </w:tcPr>
          <w:p>
            <w:pPr>
              <w:pStyle w:val="14"/>
            </w:pPr>
            <w:r>
              <w:t>≤3.9万元</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满足日常办公需要</w:t>
            </w:r>
          </w:p>
        </w:tc>
        <w:tc>
          <w:tcPr>
            <w:tcW w:w="2835" w:type="dxa"/>
            <w:vAlign w:val="center"/>
          </w:tcPr>
          <w:p>
            <w:pPr>
              <w:pStyle w:val="14"/>
            </w:pPr>
            <w:r>
              <w:t>满足日常办公需要，保障业务运转</w:t>
            </w:r>
          </w:p>
        </w:tc>
        <w:tc>
          <w:tcPr>
            <w:tcW w:w="2551" w:type="dxa"/>
            <w:vAlign w:val="center"/>
          </w:tcPr>
          <w:p>
            <w:pPr>
              <w:pStyle w:val="14"/>
            </w:pPr>
            <w:r>
              <w:t>满足</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线路租用能够长期稳定保障不动产登记工作正常运转。</w:t>
            </w:r>
          </w:p>
        </w:tc>
        <w:tc>
          <w:tcPr>
            <w:tcW w:w="2551" w:type="dxa"/>
            <w:vAlign w:val="center"/>
          </w:tcPr>
          <w:p>
            <w:pPr>
              <w:pStyle w:val="14"/>
            </w:pPr>
            <w:r>
              <w:t>可持续</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使用人员满意度</w:t>
            </w:r>
          </w:p>
        </w:tc>
        <w:tc>
          <w:tcPr>
            <w:tcW w:w="2835" w:type="dxa"/>
            <w:vAlign w:val="center"/>
          </w:tcPr>
          <w:p>
            <w:pPr>
              <w:pStyle w:val="14"/>
            </w:pPr>
            <w:r>
              <w:t>使用人员满意情况</w:t>
            </w:r>
          </w:p>
        </w:tc>
        <w:tc>
          <w:tcPr>
            <w:tcW w:w="2551" w:type="dxa"/>
            <w:vAlign w:val="center"/>
          </w:tcPr>
          <w:p>
            <w:pPr>
              <w:pStyle w:val="14"/>
            </w:pPr>
            <w:r>
              <w:t>≥95%</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8、2023年度市本级不动产登记管理平台升级改造项目经费绩效目标表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软件采购(维护)  数量</w:t>
            </w:r>
          </w:p>
        </w:tc>
        <w:tc>
          <w:tcPr>
            <w:tcW w:w="2835" w:type="dxa"/>
            <w:vAlign w:val="center"/>
          </w:tcPr>
          <w:p>
            <w:pPr>
              <w:pStyle w:val="14"/>
            </w:pPr>
            <w:r>
              <w:t>软件采购(维护)数量情况</w:t>
            </w:r>
          </w:p>
        </w:tc>
        <w:tc>
          <w:tcPr>
            <w:tcW w:w="2551" w:type="dxa"/>
            <w:vAlign w:val="center"/>
          </w:tcPr>
          <w:p>
            <w:pPr>
              <w:pStyle w:val="14"/>
            </w:pPr>
            <w:r>
              <w:t>≥1个</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系统验收合格率</w:t>
            </w:r>
          </w:p>
        </w:tc>
        <w:tc>
          <w:tcPr>
            <w:tcW w:w="2835" w:type="dxa"/>
            <w:vAlign w:val="center"/>
          </w:tcPr>
          <w:p>
            <w:pPr>
              <w:pStyle w:val="14"/>
            </w:pPr>
            <w:r>
              <w:t>不动产登记管理平台升级改造验收合格情况</w:t>
            </w:r>
          </w:p>
        </w:tc>
        <w:tc>
          <w:tcPr>
            <w:tcW w:w="2551" w:type="dxa"/>
            <w:vAlign w:val="center"/>
          </w:tcPr>
          <w:p>
            <w:pPr>
              <w:pStyle w:val="14"/>
            </w:pPr>
            <w:r>
              <w:t>100%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系统故障率</w:t>
            </w:r>
          </w:p>
        </w:tc>
        <w:tc>
          <w:tcPr>
            <w:tcW w:w="2835" w:type="dxa"/>
            <w:vAlign w:val="center"/>
          </w:tcPr>
          <w:p>
            <w:pPr>
              <w:pStyle w:val="14"/>
            </w:pPr>
            <w:r>
              <w:t>系统故障情况</w:t>
            </w:r>
          </w:p>
        </w:tc>
        <w:tc>
          <w:tcPr>
            <w:tcW w:w="2551" w:type="dxa"/>
            <w:vAlign w:val="center"/>
          </w:tcPr>
          <w:p>
            <w:pPr>
              <w:pStyle w:val="14"/>
            </w:pPr>
            <w:r>
              <w:t>≤5%</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系统故障处理及时性</w:t>
            </w:r>
          </w:p>
        </w:tc>
        <w:tc>
          <w:tcPr>
            <w:tcW w:w="2835" w:type="dxa"/>
            <w:vAlign w:val="center"/>
          </w:tcPr>
          <w:p>
            <w:pPr>
              <w:pStyle w:val="14"/>
            </w:pPr>
            <w:r>
              <w:t>系统故障发生1小时内进行处理</w:t>
            </w:r>
          </w:p>
        </w:tc>
        <w:tc>
          <w:tcPr>
            <w:tcW w:w="2551" w:type="dxa"/>
            <w:vAlign w:val="center"/>
          </w:tcPr>
          <w:p>
            <w:pPr>
              <w:pStyle w:val="14"/>
            </w:pPr>
            <w:r>
              <w:t>≤1小时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系统升级改造及时性</w:t>
            </w:r>
          </w:p>
        </w:tc>
        <w:tc>
          <w:tcPr>
            <w:tcW w:w="2835" w:type="dxa"/>
            <w:vAlign w:val="center"/>
          </w:tcPr>
          <w:p>
            <w:pPr>
              <w:pStyle w:val="14"/>
            </w:pPr>
            <w:r>
              <w:t>系统在规定时间内升级改造，不延期</w:t>
            </w:r>
          </w:p>
        </w:tc>
        <w:tc>
          <w:tcPr>
            <w:tcW w:w="2551" w:type="dxa"/>
            <w:vAlign w:val="center"/>
          </w:tcPr>
          <w:p>
            <w:pPr>
              <w:pStyle w:val="14"/>
            </w:pPr>
            <w:r>
              <w:t>及时</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平台系统升级改造总成本</w:t>
            </w:r>
          </w:p>
        </w:tc>
        <w:tc>
          <w:tcPr>
            <w:tcW w:w="2835" w:type="dxa"/>
            <w:vAlign w:val="center"/>
          </w:tcPr>
          <w:p>
            <w:pPr>
              <w:pStyle w:val="14"/>
            </w:pPr>
            <w:r>
              <w:t>平台系统升级改造总成本</w:t>
            </w:r>
          </w:p>
        </w:tc>
        <w:tc>
          <w:tcPr>
            <w:tcW w:w="2551" w:type="dxa"/>
            <w:vAlign w:val="center"/>
          </w:tcPr>
          <w:p>
            <w:pPr>
              <w:pStyle w:val="14"/>
            </w:pPr>
            <w:r>
              <w:t>≤28万元</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提升不动产登记信息化管理水平</w:t>
            </w:r>
          </w:p>
        </w:tc>
        <w:tc>
          <w:tcPr>
            <w:tcW w:w="2835" w:type="dxa"/>
            <w:vAlign w:val="center"/>
          </w:tcPr>
          <w:p>
            <w:pPr>
              <w:pStyle w:val="14"/>
            </w:pPr>
            <w:r>
              <w:t>提升不动产登记信息化管理水平，满足不动产登记需求</w:t>
            </w:r>
          </w:p>
        </w:tc>
        <w:tc>
          <w:tcPr>
            <w:tcW w:w="2551" w:type="dxa"/>
            <w:vAlign w:val="center"/>
          </w:tcPr>
          <w:p>
            <w:pPr>
              <w:pStyle w:val="14"/>
            </w:pPr>
            <w:r>
              <w:t>巩固提升</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系统升级改造后能够长期保障不动产登记工作正常运转</w:t>
            </w:r>
          </w:p>
        </w:tc>
        <w:tc>
          <w:tcPr>
            <w:tcW w:w="2551" w:type="dxa"/>
            <w:vAlign w:val="center"/>
          </w:tcPr>
          <w:p>
            <w:pPr>
              <w:pStyle w:val="14"/>
            </w:pPr>
            <w:r>
              <w:t>长期提供</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使用人员满意度</w:t>
            </w:r>
          </w:p>
        </w:tc>
        <w:tc>
          <w:tcPr>
            <w:tcW w:w="2835" w:type="dxa"/>
            <w:vAlign w:val="center"/>
          </w:tcPr>
          <w:p>
            <w:pPr>
              <w:pStyle w:val="14"/>
            </w:pPr>
            <w:r>
              <w:t>平台使用人员满意情况</w:t>
            </w:r>
          </w:p>
        </w:tc>
        <w:tc>
          <w:tcPr>
            <w:tcW w:w="2551" w:type="dxa"/>
            <w:vAlign w:val="center"/>
          </w:tcPr>
          <w:p>
            <w:pPr>
              <w:pStyle w:val="14"/>
            </w:pPr>
            <w:r>
              <w:t>≥90%</w:t>
            </w:r>
          </w:p>
        </w:tc>
        <w:tc>
          <w:tcPr>
            <w:tcW w:w="2268" w:type="dxa"/>
            <w:vAlign w:val="center"/>
          </w:tcPr>
          <w:p>
            <w:pPr>
              <w:pStyle w:val="14"/>
            </w:pPr>
            <w:r>
              <w:t>行业规范</w:t>
            </w:r>
          </w:p>
        </w:tc>
      </w:tr>
    </w:tbl>
    <w:p>
      <w:pPr>
        <w:sectPr>
          <w:pgSz w:w="16840" w:h="11900" w:orient="landscape"/>
          <w:pgMar w:top="1361" w:right="1020" w:bottom="1134" w:left="1020" w:header="720" w:footer="720" w:gutter="0"/>
          <w:cols w:space="720" w:num="1"/>
        </w:sectPr>
      </w:pPr>
    </w:p>
    <w:p>
      <w:pPr>
        <w:ind w:firstLine="560"/>
      </w:pPr>
      <w:r>
        <w:rPr>
          <w:rFonts w:ascii="方正仿宋_GBK" w:hAnsi="方正仿宋_GBK" w:eastAsia="方正仿宋_GBK" w:cs="方正仿宋_GBK"/>
          <w:b/>
          <w:color w:val="000000"/>
          <w:sz w:val="28"/>
        </w:rPr>
        <w:t>9、2023年度钟鼓楼不动产登记档案室迁移项目绩效目标表</w:t>
      </w:r>
    </w:p>
    <w:tbl>
      <w:tblPr>
        <w:tblStyle w:val="7"/>
        <w:tblW w:w="0" w:type="auto"/>
        <w:jc w:val="center"/>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FFFFFF" w:sz="6" w:space="0"/>
            <w:right w:val="single" w:color="000000" w:sz="6" w:space="0"/>
            <w:insideH w:val="single" w:color="auto" w:sz="4"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bottom w:val="single" w:color="FFFFFF" w:sz="6" w:space="0"/>
            </w:tcBorders>
            <w:vAlign w:val="center"/>
          </w:tcPr>
          <w:p>
            <w:pPr>
              <w:pStyle w:val="15"/>
            </w:pPr>
            <w:r>
              <w:t>绩效目标</w:t>
            </w:r>
          </w:p>
        </w:tc>
        <w:tc>
          <w:tcPr>
            <w:tcW w:w="12756" w:type="dxa"/>
            <w:tcBorders>
              <w:bottom w:val="single" w:color="FFFFFF" w:sz="6" w:space="0"/>
            </w:tcBorders>
            <w:vAlign w:val="center"/>
          </w:tcPr>
          <w:p>
            <w:pPr>
              <w:pStyle w:val="14"/>
            </w:pPr>
            <w:r>
              <w:t>1.目标内容1</w:t>
            </w:r>
          </w:p>
        </w:tc>
      </w:tr>
    </w:tbl>
    <w:p>
      <w:pPr>
        <w:spacing w:line="2" w:lineRule="exact"/>
        <w:jc w:val="center"/>
      </w:pP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417" w:type="dxa"/>
            <w:vAlign w:val="center"/>
          </w:tcPr>
          <w:p>
            <w:pPr>
              <w:pStyle w:val="15"/>
            </w:pPr>
            <w:r>
              <w:t>一级指标</w:t>
            </w:r>
          </w:p>
        </w:tc>
        <w:tc>
          <w:tcPr>
            <w:tcW w:w="2268" w:type="dxa"/>
            <w:vAlign w:val="center"/>
          </w:tcPr>
          <w:p>
            <w:pPr>
              <w:pStyle w:val="15"/>
            </w:pPr>
            <w:r>
              <w:t>二级指标</w:t>
            </w:r>
          </w:p>
        </w:tc>
        <w:tc>
          <w:tcPr>
            <w:tcW w:w="2835" w:type="dxa"/>
            <w:vAlign w:val="center"/>
          </w:tcPr>
          <w:p>
            <w:pPr>
              <w:pStyle w:val="15"/>
            </w:pPr>
            <w:r>
              <w:t>三级指标</w:t>
            </w:r>
          </w:p>
        </w:tc>
        <w:tc>
          <w:tcPr>
            <w:tcW w:w="2835" w:type="dxa"/>
            <w:vAlign w:val="center"/>
          </w:tcPr>
          <w:p>
            <w:pPr>
              <w:pStyle w:val="15"/>
            </w:pPr>
            <w:r>
              <w:t>绩效指标描述</w:t>
            </w:r>
          </w:p>
        </w:tc>
        <w:tc>
          <w:tcPr>
            <w:tcW w:w="2551" w:type="dxa"/>
            <w:vAlign w:val="center"/>
          </w:tcPr>
          <w:p>
            <w:pPr>
              <w:pStyle w:val="15"/>
            </w:pPr>
            <w:r>
              <w:t>指标值</w:t>
            </w:r>
          </w:p>
        </w:tc>
        <w:tc>
          <w:tcPr>
            <w:tcW w:w="2268" w:type="dxa"/>
            <w:vAlign w:val="center"/>
          </w:tcPr>
          <w:p>
            <w:pPr>
              <w:pStyle w:val="15"/>
            </w:pPr>
            <w: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产出指标</w:t>
            </w:r>
          </w:p>
        </w:tc>
        <w:tc>
          <w:tcPr>
            <w:tcW w:w="2268" w:type="dxa"/>
            <w:vAlign w:val="center"/>
          </w:tcPr>
          <w:p>
            <w:pPr>
              <w:pStyle w:val="14"/>
            </w:pPr>
            <w:r>
              <w:t>数量指标</w:t>
            </w:r>
          </w:p>
        </w:tc>
        <w:tc>
          <w:tcPr>
            <w:tcW w:w="2835" w:type="dxa"/>
            <w:vAlign w:val="center"/>
          </w:tcPr>
          <w:p>
            <w:pPr>
              <w:pStyle w:val="14"/>
            </w:pPr>
            <w:r>
              <w:t>工程完工率</w:t>
            </w:r>
          </w:p>
        </w:tc>
        <w:tc>
          <w:tcPr>
            <w:tcW w:w="2835" w:type="dxa"/>
            <w:vAlign w:val="center"/>
          </w:tcPr>
          <w:p>
            <w:pPr>
              <w:pStyle w:val="14"/>
            </w:pPr>
            <w:r>
              <w:t>工程施工进度工作量 占工程总量的比率</w:t>
            </w:r>
          </w:p>
        </w:tc>
        <w:tc>
          <w:tcPr>
            <w:tcW w:w="2551" w:type="dxa"/>
            <w:vAlign w:val="center"/>
          </w:tcPr>
          <w:p>
            <w:pPr>
              <w:pStyle w:val="14"/>
            </w:pPr>
            <w:r>
              <w:t>≥95%</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质量指标</w:t>
            </w:r>
          </w:p>
        </w:tc>
        <w:tc>
          <w:tcPr>
            <w:tcW w:w="2835" w:type="dxa"/>
            <w:vAlign w:val="center"/>
          </w:tcPr>
          <w:p>
            <w:pPr>
              <w:pStyle w:val="14"/>
            </w:pPr>
            <w:r>
              <w:t>竣工验收合格率</w:t>
            </w:r>
          </w:p>
        </w:tc>
        <w:tc>
          <w:tcPr>
            <w:tcW w:w="2835" w:type="dxa"/>
            <w:vAlign w:val="center"/>
          </w:tcPr>
          <w:p>
            <w:pPr>
              <w:pStyle w:val="14"/>
            </w:pPr>
            <w:r>
              <w:t>工程竣工验收情况</w:t>
            </w:r>
          </w:p>
        </w:tc>
        <w:tc>
          <w:tcPr>
            <w:tcW w:w="2551" w:type="dxa"/>
            <w:vAlign w:val="center"/>
          </w:tcPr>
          <w:p>
            <w:pPr>
              <w:pStyle w:val="14"/>
            </w:pPr>
            <w:r>
              <w:t>100%</w:t>
            </w:r>
          </w:p>
        </w:tc>
        <w:tc>
          <w:tcPr>
            <w:tcW w:w="2268" w:type="dxa"/>
            <w:vAlign w:val="center"/>
          </w:tcPr>
          <w:p>
            <w:pPr>
              <w:pStyle w:val="14"/>
            </w:pPr>
            <w:r>
              <w:t>行业规范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时效指标</w:t>
            </w:r>
          </w:p>
        </w:tc>
        <w:tc>
          <w:tcPr>
            <w:tcW w:w="2835" w:type="dxa"/>
            <w:vAlign w:val="center"/>
          </w:tcPr>
          <w:p>
            <w:pPr>
              <w:pStyle w:val="14"/>
            </w:pPr>
            <w:r>
              <w:t>工程竣工及时性</w:t>
            </w:r>
          </w:p>
        </w:tc>
        <w:tc>
          <w:tcPr>
            <w:tcW w:w="2835" w:type="dxa"/>
            <w:vAlign w:val="center"/>
          </w:tcPr>
          <w:p>
            <w:pPr>
              <w:pStyle w:val="14"/>
            </w:pPr>
            <w:r>
              <w:t>考察工程完成竣工的及时性，是否在合同同约定的工期内竣工，有无延期情况。</w:t>
            </w:r>
          </w:p>
        </w:tc>
        <w:tc>
          <w:tcPr>
            <w:tcW w:w="2551" w:type="dxa"/>
            <w:vAlign w:val="center"/>
          </w:tcPr>
          <w:p>
            <w:pPr>
              <w:pStyle w:val="14"/>
            </w:pPr>
            <w:r>
              <w:t>及时</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成本指标</w:t>
            </w:r>
          </w:p>
        </w:tc>
        <w:tc>
          <w:tcPr>
            <w:tcW w:w="2835" w:type="dxa"/>
            <w:vAlign w:val="center"/>
          </w:tcPr>
          <w:p>
            <w:pPr>
              <w:pStyle w:val="14"/>
            </w:pPr>
            <w:r>
              <w:t>工程单位建设成本</w:t>
            </w:r>
          </w:p>
        </w:tc>
        <w:tc>
          <w:tcPr>
            <w:tcW w:w="2835" w:type="dxa"/>
            <w:vAlign w:val="center"/>
          </w:tcPr>
          <w:p>
            <w:pPr>
              <w:pStyle w:val="14"/>
            </w:pPr>
            <w:r>
              <w:t>反映每单位平米数的建设成本</w:t>
            </w:r>
          </w:p>
        </w:tc>
        <w:tc>
          <w:tcPr>
            <w:tcW w:w="2551" w:type="dxa"/>
            <w:vAlign w:val="center"/>
          </w:tcPr>
          <w:p>
            <w:pPr>
              <w:pStyle w:val="14"/>
            </w:pPr>
            <w:r>
              <w:t>≤0.13万元</w:t>
            </w:r>
          </w:p>
        </w:tc>
        <w:tc>
          <w:tcPr>
            <w:tcW w:w="2268" w:type="dxa"/>
            <w:vAlign w:val="center"/>
          </w:tcPr>
          <w:p>
            <w:pPr>
              <w:pStyle w:val="14"/>
            </w:pPr>
            <w:r>
              <w:t>财政预算批复文件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restart"/>
            <w:vAlign w:val="center"/>
          </w:tcPr>
          <w:p>
            <w:pPr>
              <w:pStyle w:val="16"/>
            </w:pPr>
            <w:r>
              <w:t>效益指标</w:t>
            </w:r>
          </w:p>
        </w:tc>
        <w:tc>
          <w:tcPr>
            <w:tcW w:w="2268" w:type="dxa"/>
            <w:vAlign w:val="center"/>
          </w:tcPr>
          <w:p>
            <w:pPr>
              <w:pStyle w:val="14"/>
            </w:pPr>
            <w:r>
              <w:t>社会效益指标</w:t>
            </w:r>
          </w:p>
        </w:tc>
        <w:tc>
          <w:tcPr>
            <w:tcW w:w="2835" w:type="dxa"/>
            <w:vAlign w:val="center"/>
          </w:tcPr>
          <w:p>
            <w:pPr>
              <w:pStyle w:val="14"/>
            </w:pPr>
            <w:r>
              <w:t>满足档案整理需求</w:t>
            </w:r>
          </w:p>
        </w:tc>
        <w:tc>
          <w:tcPr>
            <w:tcW w:w="2835" w:type="dxa"/>
            <w:vAlign w:val="center"/>
          </w:tcPr>
          <w:p>
            <w:pPr>
              <w:pStyle w:val="14"/>
            </w:pPr>
            <w:r>
              <w:t>满足档案管理工作需要，为 档案整理提供保障。</w:t>
            </w:r>
          </w:p>
        </w:tc>
        <w:tc>
          <w:tcPr>
            <w:tcW w:w="2551" w:type="dxa"/>
            <w:vAlign w:val="center"/>
          </w:tcPr>
          <w:p>
            <w:pPr>
              <w:pStyle w:val="14"/>
            </w:pPr>
            <w:r>
              <w:t>满足</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Merge w:val="continue"/>
            <w:vAlign w:val="center"/>
          </w:tcPr>
          <w:p/>
        </w:tc>
        <w:tc>
          <w:tcPr>
            <w:tcW w:w="2268" w:type="dxa"/>
            <w:vAlign w:val="center"/>
          </w:tcPr>
          <w:p>
            <w:pPr>
              <w:pStyle w:val="14"/>
            </w:pPr>
            <w:r>
              <w:t>可持续影响指标</w:t>
            </w:r>
          </w:p>
        </w:tc>
        <w:tc>
          <w:tcPr>
            <w:tcW w:w="2835" w:type="dxa"/>
            <w:vAlign w:val="center"/>
          </w:tcPr>
          <w:p>
            <w:pPr>
              <w:pStyle w:val="14"/>
            </w:pPr>
            <w:r>
              <w:t>提供长期稳定服务</w:t>
            </w:r>
          </w:p>
        </w:tc>
        <w:tc>
          <w:tcPr>
            <w:tcW w:w="2835" w:type="dxa"/>
            <w:vAlign w:val="center"/>
          </w:tcPr>
          <w:p>
            <w:pPr>
              <w:pStyle w:val="14"/>
            </w:pPr>
            <w:r>
              <w:t>项目建成能够长期稳定保障档案整理顺利进行，保障档案整理工作正常运转。</w:t>
            </w:r>
          </w:p>
        </w:tc>
        <w:tc>
          <w:tcPr>
            <w:tcW w:w="2551" w:type="dxa"/>
            <w:vAlign w:val="center"/>
          </w:tcPr>
          <w:p>
            <w:pPr>
              <w:pStyle w:val="14"/>
            </w:pPr>
            <w:r>
              <w:t>长期提供</w:t>
            </w:r>
          </w:p>
        </w:tc>
        <w:tc>
          <w:tcPr>
            <w:tcW w:w="2268" w:type="dxa"/>
            <w:vAlign w:val="center"/>
          </w:tcPr>
          <w:p>
            <w:pPr>
              <w:pStyle w:val="14"/>
            </w:pPr>
            <w: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1417" w:type="dxa"/>
            <w:vAlign w:val="center"/>
          </w:tcPr>
          <w:p>
            <w:pPr>
              <w:pStyle w:val="16"/>
            </w:pPr>
            <w:r>
              <w:t>满意度指标</w:t>
            </w:r>
          </w:p>
        </w:tc>
        <w:tc>
          <w:tcPr>
            <w:tcW w:w="2268" w:type="dxa"/>
            <w:vAlign w:val="center"/>
          </w:tcPr>
          <w:p>
            <w:pPr>
              <w:pStyle w:val="14"/>
            </w:pPr>
            <w:r>
              <w:t>服务对象满意度指标</w:t>
            </w:r>
          </w:p>
        </w:tc>
        <w:tc>
          <w:tcPr>
            <w:tcW w:w="2835" w:type="dxa"/>
            <w:vAlign w:val="center"/>
          </w:tcPr>
          <w:p>
            <w:pPr>
              <w:pStyle w:val="14"/>
            </w:pPr>
            <w:r>
              <w:t>使用人员满意度</w:t>
            </w:r>
          </w:p>
        </w:tc>
        <w:tc>
          <w:tcPr>
            <w:tcW w:w="2835" w:type="dxa"/>
            <w:vAlign w:val="center"/>
          </w:tcPr>
          <w:p>
            <w:pPr>
              <w:pStyle w:val="14"/>
            </w:pPr>
            <w:r>
              <w:t>使用人员满意情况</w:t>
            </w:r>
          </w:p>
        </w:tc>
        <w:tc>
          <w:tcPr>
            <w:tcW w:w="2551" w:type="dxa"/>
            <w:vAlign w:val="center"/>
          </w:tcPr>
          <w:p>
            <w:pPr>
              <w:pStyle w:val="14"/>
            </w:pPr>
            <w:r>
              <w:t>≥90%</w:t>
            </w:r>
          </w:p>
        </w:tc>
        <w:tc>
          <w:tcPr>
            <w:tcW w:w="2268" w:type="dxa"/>
            <w:vAlign w:val="center"/>
          </w:tcPr>
          <w:p>
            <w:pPr>
              <w:pStyle w:val="14"/>
            </w:pPr>
            <w:r>
              <w:t>行业规范</w:t>
            </w:r>
          </w:p>
        </w:tc>
      </w:tr>
    </w:tbl>
    <w:p>
      <w:pPr>
        <w:spacing w:before="0" w:after="0" w:line="240" w:lineRule="auto"/>
        <w:ind w:firstLine="0"/>
        <w:jc w:val="both"/>
        <w:outlineLvl w:val="9"/>
      </w:pPr>
    </w:p>
    <w:sectPr>
      <w:pgSz w:w="16840" w:h="11900" w:orient="landscape"/>
      <w:pgMar w:top="1304" w:right="1984" w:bottom="1304" w:left="1134"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方正书宋_GBK">
    <w:altName w:val="微软雅黑"/>
    <w:panose1 w:val="00000000000000000000"/>
    <w:charset w:val="00"/>
    <w:family w:val="auto"/>
    <w:pitch w:val="default"/>
    <w:sig w:usb0="00000000" w:usb1="00000000" w:usb2="00000000" w:usb3="00000000" w:csb0="00040001" w:csb1="00000000"/>
  </w:font>
  <w:font w:name="方正小标宋_GBK">
    <w:altName w:val="微软雅黑"/>
    <w:panose1 w:val="00000000000000000000"/>
    <w:charset w:val="00"/>
    <w:family w:val="auto"/>
    <w:pitch w:val="default"/>
    <w:sig w:usb0="00000000" w:usb1="00000000" w:usb2="00000000" w:usb3="00000000" w:csb0="00040001" w:csb1="00000000"/>
  </w:font>
  <w:font w:name="方正楷体_GBK">
    <w:altName w:val="微软雅黑"/>
    <w:panose1 w:val="00000000000000000000"/>
    <w:charset w:val="00"/>
    <w:family w:val="auto"/>
    <w:pitch w:val="default"/>
    <w:sig w:usb0="00000000" w:usb1="00000000" w:usb2="00000000" w:usb3="00000000" w:csb0="00040001" w:csb1="00000000"/>
  </w:font>
  <w:font w:name="方正黑体_GBK">
    <w:altName w:val="微软雅黑"/>
    <w:panose1 w:val="00000000000000000000"/>
    <w:charset w:val="00"/>
    <w:family w:val="auto"/>
    <w:pitch w:val="default"/>
    <w:sig w:usb0="00000000" w:usb1="00000000" w:usb2="00000000" w:usb3="00000000" w:csb0="00040001" w:csb1="00000000"/>
  </w:font>
  <w:font w:name="方正仿宋_GBK">
    <w:altName w:val="宋体"/>
    <w:panose1 w:val="00000000000000000000"/>
    <w:charset w:val="86"/>
    <w:family w:val="roman"/>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Times New Roman" w:cs="黑体"/>
        <w:sz w:val="18"/>
        <w:szCs w:val="24"/>
        <w:lang w:val="en-US" w:eastAsia="zh-CN" w:bidi="ar-SA"/>
      </w:rPr>
      <w:pict>
        <v:shape id="_x0000_s2053" o:spid="_x0000_s2053"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3</w:t>
                </w:r>
                <w:r>
                  <w:rPr>
                    <w:rFonts w:hint="eastAsia" w:eastAsia="宋体"/>
                    <w:sz w:val="18"/>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Times New Roman" w:cs="黑体"/>
        <w:sz w:val="18"/>
        <w:szCs w:val="24"/>
        <w:lang w:val="en-US" w:eastAsia="zh-CN" w:bidi="ar-SA"/>
      </w:rPr>
      <w:pict>
        <v:shape id="_x0000_s2054" o:spid="_x0000_s2054" o:spt="202" type="#_x0000_t202"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2</w:t>
                </w:r>
                <w:r>
                  <w:rPr>
                    <w:rFonts w:hint="eastAsia" w:eastAsia="宋体"/>
                    <w:sz w:val="18"/>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Times New Roman" w:cs="黑体"/>
        <w:sz w:val="18"/>
        <w:szCs w:val="24"/>
        <w:lang w:val="en-US" w:eastAsia="zh-CN" w:bidi="ar-SA"/>
      </w:rPr>
      <w:pict>
        <v:shape id="文本框 6" o:spid="_x0000_s2052" o:spt="202" type="#_x0000_t202"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1</w:t>
                </w:r>
                <w:r>
                  <w:rPr>
                    <w:rFonts w:hint="eastAsia" w:eastAsia="宋体"/>
                    <w:sz w:val="18"/>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Times New Roman" w:cs="黑体"/>
        <w:sz w:val="18"/>
        <w:szCs w:val="24"/>
        <w:lang w:val="en-US" w:eastAsia="zh-CN" w:bidi="ar-SA"/>
      </w:rPr>
      <w:pict>
        <v:shape id="文本框 4" o:spid="_x0000_s2050"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3</w:t>
                </w:r>
                <w:r>
                  <w:rPr>
                    <w:rFonts w:hint="eastAsia" w:eastAsia="宋体"/>
                    <w:sz w:val="18"/>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Times New Roman" w:hAnsi="Times New Roman" w:eastAsia="Times New Roman" w:cs="黑体"/>
        <w:sz w:val="18"/>
        <w:szCs w:val="24"/>
        <w:lang w:val="en-US" w:eastAsia="zh-CN" w:bidi="ar-SA"/>
      </w:rPr>
      <w:pict>
        <v:shape id="文本框 5" o:spid="_x0000_s2051" o:spt="202" type="#_x0000_t202"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2</w:t>
                </w:r>
                <w:r>
                  <w:rPr>
                    <w:rFonts w:hint="eastAsia" w:eastAsia="宋体"/>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evenAndOddHeaders w:val="1"/>
  <w:drawingGridHorizontalSpacing w:val="0"/>
  <w:displayHorizontalDrawingGridEvery w:val="1"/>
  <w:displayVerticalDrawingGridEvery w:val="1"/>
  <w:characterSpacingControl w:val="doNotCompress"/>
  <w:hdrShapeDefaults>
    <o:shapelayout v:ext="edit">
      <o:idmap v:ext="edit" data="2"/>
    </o:shapelayout>
  </w:hdrShapeDefaults>
  <w:compat>
    <w:spaceForUL/>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5234C03"/>
    <w:rsid w:val="439C1114"/>
    <w:rsid w:val="580E7392"/>
    <w:rsid w:val="73CB3A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黑体"/>
      <w:sz w:val="24"/>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toc 1"/>
    <w:basedOn w:val="1"/>
    <w:next w:val="1"/>
    <w:qFormat/>
    <w:uiPriority w:val="0"/>
    <w:pPr>
      <w:spacing w:before="120" w:line="240" w:lineRule="auto"/>
      <w:ind w:firstLine="0"/>
    </w:pPr>
    <w:rPr>
      <w:rFonts w:ascii="Times New Roman" w:hAnsi="Times New Roman" w:eastAsia="方正仿宋_GBK" w:cs="Times New Roman"/>
      <w:color w:val="000000"/>
      <w:sz w:val="28"/>
      <w:lang w:val="en-US"/>
    </w:rPr>
  </w:style>
  <w:style w:type="paragraph" w:styleId="5">
    <w:name w:val="toc 4"/>
    <w:basedOn w:val="1"/>
    <w:next w:val="1"/>
    <w:qFormat/>
    <w:uiPriority w:val="0"/>
    <w:pPr>
      <w:ind w:left="720"/>
    </w:pPr>
  </w:style>
  <w:style w:type="paragraph" w:styleId="6">
    <w:name w:val="toc 2"/>
    <w:basedOn w:val="1"/>
    <w:next w:val="1"/>
    <w:qFormat/>
    <w:uiPriority w:val="0"/>
    <w:pPr>
      <w:ind w:left="240"/>
    </w:pPr>
  </w:style>
  <w:style w:type="paragraph" w:customStyle="1" w:styleId="9">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0">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1">
    <w:name w:val="插入文本样式-插入实现年度发展规划目标的保障措施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2">
    <w:name w:val="单元格样式4"/>
    <w:basedOn w:val="1"/>
    <w:qFormat/>
    <w:uiPriority w:val="0"/>
    <w:pPr>
      <w:spacing w:before="0" w:after="0"/>
      <w:ind w:firstLine="0"/>
      <w:jc w:val="right"/>
      <w:outlineLvl w:val="9"/>
    </w:pPr>
    <w:rPr>
      <w:rFonts w:ascii="方正书宋_GBK" w:hAnsi="方正书宋_GBK" w:eastAsia="方正书宋_GBK" w:cs="方正书宋_GBK"/>
      <w:sz w:val="21"/>
    </w:rPr>
  </w:style>
  <w:style w:type="paragraph" w:customStyle="1" w:styleId="13">
    <w:name w:val="单元格样式5"/>
    <w:basedOn w:val="1"/>
    <w:qFormat/>
    <w:uiPriority w:val="0"/>
    <w:pPr>
      <w:spacing w:before="0" w:after="0"/>
      <w:ind w:firstLine="0"/>
      <w:jc w:val="left"/>
      <w:outlineLvl w:val="9"/>
    </w:pPr>
    <w:rPr>
      <w:rFonts w:ascii="方正书宋_GBK" w:hAnsi="方正书宋_GBK" w:eastAsia="方正书宋_GBK" w:cs="方正书宋_GBK"/>
      <w:b/>
      <w:sz w:val="21"/>
    </w:rPr>
  </w:style>
  <w:style w:type="paragraph" w:customStyle="1" w:styleId="14">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 w:type="paragraph" w:customStyle="1" w:styleId="15">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6">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7">
    <w:name w:val="插入文本样式-插入单位职责文件"/>
    <w:basedOn w:val="1"/>
    <w:qFormat/>
    <w:uiPriority w:val="0"/>
    <w:pPr>
      <w:spacing w:line="500" w:lineRule="exact"/>
      <w:ind w:firstLine="560"/>
    </w:pPr>
    <w:rPr>
      <w:rFonts w:eastAsia="方正仿宋_GBK"/>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53" textRotate="1"/>
    <customShpInfo spid="_x0000_s2054" textRotate="1"/>
    <customShpInfo spid="_x0000_s2052" textRotate="1"/>
    <customShpInfo spid="_x0000_s2050" textRotate="1"/>
    <customShpInfo spid="_x0000_s205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2022-02-14T10:29:00Z</dcterms:created>
  <dc:creator>Administrator</dc:creator>
  <cp:lastModifiedBy>Administrator</cp:lastModifiedBy>
  <cp:lastPrinted>2022-03-01T08:42:00Z</cp:lastPrinted>
  <dcterms:modified xsi:type="dcterms:W3CDTF">2023-03-09T07:16:43Z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51DB69090F7D472BB973586526BD3536</vt:lpwstr>
  </property>
</Properties>
</file>