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承德市自然资源和规划局行政裁决事项清单（</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版）</w:t>
      </w:r>
    </w:p>
    <w:tbl>
      <w:tblPr>
        <w:tblW w:w="13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80"/>
        <w:gridCol w:w="855"/>
        <w:gridCol w:w="1050"/>
        <w:gridCol w:w="1815"/>
        <w:gridCol w:w="1395"/>
        <w:gridCol w:w="1860"/>
        <w:gridCol w:w="1215"/>
        <w:gridCol w:w="216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691" w:type="dxa"/>
            <w:vMerge w:val="restart"/>
            <w:vAlign w:val="center"/>
          </w:tcPr>
          <w:p>
            <w:pPr>
              <w:pStyle w:val="2"/>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序号</w:t>
            </w:r>
          </w:p>
        </w:tc>
        <w:tc>
          <w:tcPr>
            <w:tcW w:w="1380" w:type="dxa"/>
            <w:vMerge w:val="restart"/>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行政裁决</w:t>
            </w:r>
          </w:p>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事项名称</w:t>
            </w:r>
          </w:p>
        </w:tc>
        <w:tc>
          <w:tcPr>
            <w:tcW w:w="855" w:type="dxa"/>
            <w:vMerge w:val="restart"/>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实施</w:t>
            </w:r>
          </w:p>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部门</w:t>
            </w:r>
          </w:p>
        </w:tc>
        <w:tc>
          <w:tcPr>
            <w:tcW w:w="9495" w:type="dxa"/>
            <w:gridSpan w:val="6"/>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设定依据</w:t>
            </w:r>
          </w:p>
        </w:tc>
        <w:tc>
          <w:tcPr>
            <w:tcW w:w="1151" w:type="dxa"/>
            <w:vMerge w:val="restart"/>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91" w:type="dxa"/>
            <w:vMerge w:val="continue"/>
            <w:vAlign w:val="center"/>
          </w:tcPr>
          <w:p>
            <w:pPr>
              <w:pStyle w:val="2"/>
              <w:jc w:val="center"/>
              <w:rPr>
                <w:rFonts w:hint="eastAsia" w:ascii="黑体" w:hAnsi="黑体" w:eastAsia="黑体" w:cs="黑体"/>
                <w:kern w:val="0"/>
                <w:sz w:val="24"/>
                <w:szCs w:val="24"/>
                <w:lang w:eastAsia="zh-CN"/>
              </w:rPr>
            </w:pPr>
          </w:p>
        </w:tc>
        <w:tc>
          <w:tcPr>
            <w:tcW w:w="1380" w:type="dxa"/>
            <w:vMerge w:val="continue"/>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p>
        </w:tc>
        <w:tc>
          <w:tcPr>
            <w:tcW w:w="855" w:type="dxa"/>
            <w:vMerge w:val="continue"/>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p>
        </w:tc>
        <w:tc>
          <w:tcPr>
            <w:tcW w:w="1050" w:type="dxa"/>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法律</w:t>
            </w:r>
          </w:p>
        </w:tc>
        <w:tc>
          <w:tcPr>
            <w:tcW w:w="1815" w:type="dxa"/>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条款及内容</w:t>
            </w:r>
          </w:p>
        </w:tc>
        <w:tc>
          <w:tcPr>
            <w:tcW w:w="1395" w:type="dxa"/>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法规</w:t>
            </w:r>
          </w:p>
        </w:tc>
        <w:tc>
          <w:tcPr>
            <w:tcW w:w="1860" w:type="dxa"/>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条款及内容</w:t>
            </w:r>
          </w:p>
        </w:tc>
        <w:tc>
          <w:tcPr>
            <w:tcW w:w="1215" w:type="dxa"/>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规章等程</w:t>
            </w:r>
          </w:p>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序性规定</w:t>
            </w:r>
          </w:p>
        </w:tc>
        <w:tc>
          <w:tcPr>
            <w:tcW w:w="2160" w:type="dxa"/>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条款及内容</w:t>
            </w:r>
          </w:p>
        </w:tc>
        <w:tc>
          <w:tcPr>
            <w:tcW w:w="1151" w:type="dxa"/>
            <w:vMerge w:val="continue"/>
            <w:vAlign w:val="center"/>
          </w:tcPr>
          <w:p>
            <w:pPr>
              <w:pStyle w:val="2"/>
              <w:widowControl w:val="0"/>
              <w:wordWrap/>
              <w:adjustRightInd/>
              <w:snapToGrid/>
              <w:spacing w:line="240" w:lineRule="exact"/>
              <w:jc w:val="center"/>
              <w:textAlignment w:val="auto"/>
              <w:rPr>
                <w:rFonts w:hint="eastAsia" w:ascii="黑体" w:hAnsi="黑体" w:eastAsia="黑体" w:cs="黑体"/>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8" w:hRule="atLeast"/>
        </w:trPr>
        <w:tc>
          <w:tcPr>
            <w:tcW w:w="691" w:type="dxa"/>
            <w:vAlign w:val="center"/>
          </w:tcPr>
          <w:p>
            <w:pPr>
              <w:widowControl/>
              <w:wordWrap/>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rPr>
            </w:pPr>
            <w:r>
              <w:rPr>
                <w:rFonts w:hint="eastAsia" w:hAnsi="仿宋" w:cs="仿宋"/>
                <w:i w:val="0"/>
                <w:color w:val="000000"/>
                <w:kern w:val="0"/>
                <w:sz w:val="20"/>
                <w:szCs w:val="20"/>
                <w:u w:val="none"/>
                <w:lang w:val="en-US" w:eastAsia="zh-CN"/>
              </w:rPr>
              <w:t>1</w:t>
            </w:r>
          </w:p>
        </w:tc>
        <w:tc>
          <w:tcPr>
            <w:tcW w:w="1380"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20"/>
                <w:szCs w:val="20"/>
                <w:u w:val="none"/>
                <w:lang w:val="en-US" w:eastAsia="zh-CN"/>
              </w:rPr>
              <w:t>土地权属争议处理</w:t>
            </w:r>
          </w:p>
        </w:tc>
        <w:tc>
          <w:tcPr>
            <w:tcW w:w="855"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20"/>
                <w:szCs w:val="20"/>
                <w:u w:val="none"/>
                <w:lang w:val="en-US" w:eastAsia="zh-CN"/>
              </w:rPr>
              <w:t>乡级以上人民政府</w:t>
            </w:r>
          </w:p>
        </w:tc>
        <w:tc>
          <w:tcPr>
            <w:tcW w:w="1050" w:type="dxa"/>
            <w:vAlign w:val="center"/>
          </w:tcPr>
          <w:p>
            <w:pPr>
              <w:widowControl/>
              <w:wordWrap/>
              <w:adjustRightInd/>
              <w:snapToGrid/>
              <w:spacing w:line="180" w:lineRule="exact"/>
              <w:jc w:val="both"/>
              <w:textAlignment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20"/>
                <w:szCs w:val="20"/>
                <w:u w:val="none"/>
                <w:lang w:val="en-US" w:eastAsia="zh-CN"/>
              </w:rPr>
              <w:t>《中华人民共和国土地管理法》</w:t>
            </w:r>
          </w:p>
        </w:tc>
        <w:tc>
          <w:tcPr>
            <w:tcW w:w="1815"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18"/>
                <w:szCs w:val="18"/>
                <w:u w:val="none"/>
                <w:lang w:val="en-US" w:eastAsia="zh-CN"/>
              </w:rPr>
              <w:t>第十四条</w:t>
            </w:r>
            <w:r>
              <w:rPr>
                <w:rFonts w:hint="eastAsia" w:ascii="仿宋" w:hAnsi="仿宋" w:eastAsia="仿宋" w:cs="仿宋"/>
                <w:i w:val="0"/>
                <w:color w:val="000000"/>
                <w:kern w:val="0"/>
                <w:sz w:val="18"/>
                <w:szCs w:val="18"/>
                <w:u w:val="none"/>
                <w:lang w:val="en-US" w:eastAsia="zh-CN"/>
              </w:rPr>
              <w:br/>
            </w:r>
            <w:r>
              <w:rPr>
                <w:rFonts w:hint="eastAsia" w:ascii="仿宋" w:hAnsi="仿宋" w:eastAsia="仿宋" w:cs="仿宋"/>
                <w:i w:val="0"/>
                <w:color w:val="000000"/>
                <w:kern w:val="0"/>
                <w:sz w:val="18"/>
                <w:szCs w:val="18"/>
                <w:u w:val="none"/>
                <w:lang w:val="en-US" w:eastAsia="zh-CN"/>
              </w:rPr>
              <w:t xml:space="preserve">  土地所有权和使用权争议，由当事人协商解决；协商不成的，由人民政府处理。</w:t>
            </w:r>
            <w:r>
              <w:rPr>
                <w:rFonts w:hint="eastAsia" w:ascii="仿宋" w:hAnsi="仿宋" w:eastAsia="仿宋" w:cs="仿宋"/>
                <w:i w:val="0"/>
                <w:color w:val="000000"/>
                <w:kern w:val="0"/>
                <w:sz w:val="18"/>
                <w:szCs w:val="18"/>
                <w:u w:val="none"/>
                <w:lang w:val="en-US" w:eastAsia="zh-CN"/>
              </w:rPr>
              <w:br/>
            </w:r>
            <w:r>
              <w:rPr>
                <w:rFonts w:hint="eastAsia" w:ascii="仿宋" w:hAnsi="仿宋" w:eastAsia="仿宋" w:cs="仿宋"/>
                <w:i w:val="0"/>
                <w:color w:val="000000"/>
                <w:kern w:val="0"/>
                <w:sz w:val="18"/>
                <w:szCs w:val="18"/>
                <w:u w:val="none"/>
                <w:lang w:val="en-US" w:eastAsia="zh-CN"/>
              </w:rPr>
              <w:t>单位之间的争议，由县级以上人民政府处理；个人之间、个人与单位之间的争议，由乡级人民政府或者县级以上人民政府处理。</w:t>
            </w:r>
            <w:r>
              <w:rPr>
                <w:rFonts w:hint="eastAsia" w:ascii="仿宋" w:hAnsi="仿宋" w:eastAsia="仿宋" w:cs="仿宋"/>
                <w:i w:val="0"/>
                <w:color w:val="000000"/>
                <w:kern w:val="0"/>
                <w:sz w:val="18"/>
                <w:szCs w:val="18"/>
                <w:u w:val="none"/>
                <w:lang w:val="en-US" w:eastAsia="zh-CN"/>
              </w:rPr>
              <w:br/>
            </w:r>
            <w:r>
              <w:rPr>
                <w:rFonts w:hint="eastAsia" w:ascii="仿宋" w:hAnsi="仿宋" w:eastAsia="仿宋" w:cs="仿宋"/>
                <w:i w:val="0"/>
                <w:color w:val="000000"/>
                <w:kern w:val="0"/>
                <w:sz w:val="18"/>
                <w:szCs w:val="18"/>
                <w:u w:val="none"/>
                <w:lang w:val="en-US" w:eastAsia="zh-CN"/>
              </w:rPr>
              <w:t xml:space="preserve">  当事人对有关人民政府的处理决定不服的，可以自接到处理决定通知之日起三十日内，向人民法院起诉。</w:t>
            </w:r>
            <w:r>
              <w:rPr>
                <w:rFonts w:hint="eastAsia" w:ascii="仿宋" w:hAnsi="仿宋" w:eastAsia="仿宋" w:cs="仿宋"/>
                <w:i w:val="0"/>
                <w:color w:val="000000"/>
                <w:kern w:val="0"/>
                <w:sz w:val="18"/>
                <w:szCs w:val="18"/>
                <w:u w:val="none"/>
                <w:lang w:val="en-US" w:eastAsia="zh-CN"/>
              </w:rPr>
              <w:br/>
            </w:r>
            <w:r>
              <w:rPr>
                <w:rFonts w:hint="eastAsia" w:ascii="仿宋" w:hAnsi="仿宋" w:eastAsia="仿宋" w:cs="仿宋"/>
                <w:i w:val="0"/>
                <w:color w:val="000000"/>
                <w:kern w:val="0"/>
                <w:sz w:val="18"/>
                <w:szCs w:val="18"/>
                <w:u w:val="none"/>
                <w:lang w:val="en-US" w:eastAsia="zh-CN"/>
              </w:rPr>
              <w:t xml:space="preserve">  在土地所有权和使用权争议解决前，任何一方不得改变土地利用现状。</w:t>
            </w:r>
          </w:p>
        </w:tc>
        <w:tc>
          <w:tcPr>
            <w:tcW w:w="1395"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p>
        </w:tc>
        <w:tc>
          <w:tcPr>
            <w:tcW w:w="1860"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p>
        </w:tc>
        <w:tc>
          <w:tcPr>
            <w:tcW w:w="1215" w:type="dxa"/>
            <w:vAlign w:val="center"/>
          </w:tcPr>
          <w:p>
            <w:pPr>
              <w:widowControl/>
              <w:wordWrap/>
              <w:adjustRightInd/>
              <w:snapToGrid/>
              <w:spacing w:line="220" w:lineRule="exact"/>
              <w:jc w:val="both"/>
              <w:textAlignment w:val="center"/>
              <w:rPr>
                <w:rFonts w:hint="eastAsia" w:ascii="仿宋" w:hAnsi="仿宋" w:eastAsia="仿宋" w:cs="仿宋"/>
                <w:i w:val="0"/>
                <w:color w:val="auto"/>
                <w:kern w:val="0"/>
                <w:sz w:val="20"/>
                <w:szCs w:val="20"/>
                <w:u w:val="none"/>
                <w:lang w:val="en-US" w:eastAsia="zh-CN"/>
              </w:rPr>
            </w:pPr>
            <w:r>
              <w:rPr>
                <w:rFonts w:hint="eastAsia" w:ascii="仿宋" w:hAnsi="仿宋" w:eastAsia="仿宋" w:cs="仿宋"/>
                <w:i w:val="0"/>
                <w:color w:val="000000"/>
                <w:kern w:val="0"/>
                <w:sz w:val="20"/>
                <w:szCs w:val="20"/>
                <w:u w:val="none"/>
                <w:lang w:val="en-US" w:eastAsia="zh-CN"/>
              </w:rPr>
              <w:t>《土地权属争议调查处理办法》</w:t>
            </w:r>
          </w:p>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p>
        </w:tc>
        <w:tc>
          <w:tcPr>
            <w:tcW w:w="2160" w:type="dxa"/>
            <w:vAlign w:val="center"/>
          </w:tcPr>
          <w:p>
            <w:pPr>
              <w:widowControl/>
              <w:wordWrap/>
              <w:adjustRightInd/>
              <w:snapToGrid/>
              <w:spacing w:line="220" w:lineRule="exact"/>
              <w:ind w:left="0" w:leftChars="0" w:firstLine="0" w:firstLineChars="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第四条</w:t>
            </w:r>
          </w:p>
          <w:p>
            <w:pPr>
              <w:widowControl/>
              <w:wordWrap/>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县级以上国土资源行政主管部门负责土地权属争议案件（以下简称争议案件）的调查和调解工作；对需要依法作出处理决定的，拟定处理意见，报同级人民政府作出处理决定。</w:t>
            </w:r>
          </w:p>
          <w:p>
            <w:pPr>
              <w:widowControl/>
              <w:wordWrap/>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县级以上国土资源行政主管部门可以指定专门机构或者人员负责办理争议案件有关事宜。</w:t>
            </w:r>
          </w:p>
          <w:p>
            <w:pPr>
              <w:widowControl/>
              <w:wordWrap/>
              <w:adjustRightInd/>
              <w:snapToGrid/>
              <w:spacing w:line="220" w:lineRule="exact"/>
              <w:ind w:left="0" w:leftChars="0" w:firstLine="0" w:firstLineChars="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第五条</w:t>
            </w:r>
          </w:p>
          <w:p>
            <w:pPr>
              <w:widowControl/>
              <w:wordWrap/>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个人之间、个人与单位之间、单位与单位之间发生的争议案件，由争议土地所在地的县级国土资源行政主管部门调查处理。</w:t>
            </w:r>
          </w:p>
          <w:p>
            <w:pPr>
              <w:widowControl/>
              <w:wordWrap/>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前款规定的个人之间、个人与单位之间发生的争议案件，可以根据当事人的申请，由乡级人民政府受理和处理。</w:t>
            </w:r>
          </w:p>
          <w:p>
            <w:pPr>
              <w:widowControl/>
              <w:wordWrap/>
              <w:adjustRightInd/>
              <w:snapToGrid/>
              <w:spacing w:line="200" w:lineRule="exact"/>
              <w:ind w:firstLine="196" w:firstLineChars="100"/>
              <w:jc w:val="both"/>
              <w:textAlignment w:val="center"/>
              <w:rPr>
                <w:rFonts w:hint="eastAsia" w:ascii="仿宋" w:hAnsi="仿宋" w:eastAsia="仿宋" w:cs="仿宋"/>
                <w:i w:val="0"/>
                <w:color w:val="000000"/>
                <w:kern w:val="0"/>
                <w:sz w:val="20"/>
                <w:szCs w:val="20"/>
                <w:u w:val="none"/>
                <w:lang w:val="en-US" w:eastAsia="zh-CN"/>
              </w:rPr>
            </w:pPr>
          </w:p>
        </w:tc>
        <w:tc>
          <w:tcPr>
            <w:tcW w:w="1151"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0" w:hRule="atLeast"/>
        </w:trPr>
        <w:tc>
          <w:tcPr>
            <w:tcW w:w="691" w:type="dxa"/>
            <w:vAlign w:val="center"/>
          </w:tcPr>
          <w:p>
            <w:pPr>
              <w:widowControl/>
              <w:wordWrap/>
              <w:adjustRightInd/>
              <w:snapToGrid/>
              <w:spacing w:line="220" w:lineRule="exact"/>
              <w:jc w:val="center"/>
              <w:textAlignment w:val="center"/>
              <w:rPr>
                <w:rFonts w:hint="eastAsia" w:ascii="仿宋" w:hAnsi="仿宋" w:eastAsia="仿宋" w:cs="仿宋"/>
                <w:i w:val="0"/>
                <w:color w:val="000000"/>
                <w:kern w:val="0"/>
                <w:sz w:val="20"/>
                <w:szCs w:val="20"/>
                <w:u w:val="none"/>
                <w:lang w:val="en-US" w:eastAsia="zh-CN"/>
              </w:rPr>
            </w:pPr>
            <w:r>
              <w:rPr>
                <w:rFonts w:hint="eastAsia" w:hAnsi="仿宋" w:cs="仿宋"/>
                <w:i w:val="0"/>
                <w:color w:val="000000"/>
                <w:kern w:val="0"/>
                <w:sz w:val="20"/>
                <w:szCs w:val="20"/>
                <w:u w:val="none"/>
                <w:lang w:val="en-US" w:eastAsia="zh-CN"/>
              </w:rPr>
              <w:t>2</w:t>
            </w:r>
          </w:p>
        </w:tc>
        <w:tc>
          <w:tcPr>
            <w:tcW w:w="1380"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20"/>
                <w:szCs w:val="20"/>
                <w:u w:val="none"/>
                <w:lang w:val="en-US" w:eastAsia="zh-CN"/>
              </w:rPr>
              <w:t>林木林地权属争议处理</w:t>
            </w:r>
          </w:p>
        </w:tc>
        <w:tc>
          <w:tcPr>
            <w:tcW w:w="855"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20"/>
                <w:szCs w:val="20"/>
                <w:u w:val="none"/>
                <w:lang w:val="en-US" w:eastAsia="zh-CN"/>
              </w:rPr>
              <w:t>乡级以上人民政府</w:t>
            </w:r>
          </w:p>
        </w:tc>
        <w:tc>
          <w:tcPr>
            <w:tcW w:w="1050" w:type="dxa"/>
            <w:vAlign w:val="center"/>
          </w:tcPr>
          <w:p>
            <w:pPr>
              <w:widowControl/>
              <w:wordWrap/>
              <w:adjustRightInd/>
              <w:snapToGrid/>
              <w:spacing w:line="220" w:lineRule="exact"/>
              <w:jc w:val="both"/>
              <w:textAlignment w:val="center"/>
              <w:rPr>
                <w:rFonts w:hint="default"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20"/>
                <w:szCs w:val="20"/>
                <w:u w:val="none"/>
                <w:lang w:val="en-US" w:eastAsia="zh-CN"/>
              </w:rPr>
              <w:t>《中华人民共和国森林法》</w:t>
            </w:r>
          </w:p>
        </w:tc>
        <w:tc>
          <w:tcPr>
            <w:tcW w:w="1815" w:type="dxa"/>
            <w:vAlign w:val="center"/>
          </w:tcPr>
          <w:p>
            <w:pPr>
              <w:widowControl/>
              <w:wordWrap/>
              <w:adjustRightInd/>
              <w:snapToGrid/>
              <w:spacing w:line="220" w:lineRule="exact"/>
              <w:ind w:left="0" w:leftChars="0" w:firstLine="0" w:firstLineChars="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第</w:t>
            </w:r>
            <w:r>
              <w:rPr>
                <w:rFonts w:hint="eastAsia" w:ascii="Times New Roman" w:hAnsi="仿宋" w:cs="仿宋"/>
                <w:i w:val="0"/>
                <w:color w:val="000000"/>
                <w:kern w:val="0"/>
                <w:sz w:val="18"/>
                <w:szCs w:val="18"/>
                <w:u w:val="none"/>
                <w:lang w:val="en-US" w:eastAsia="zh-CN"/>
              </w:rPr>
              <w:t>二十二</w:t>
            </w:r>
            <w:r>
              <w:rPr>
                <w:rFonts w:hint="eastAsia" w:ascii="仿宋" w:hAnsi="仿宋" w:eastAsia="仿宋" w:cs="仿宋"/>
                <w:i w:val="0"/>
                <w:color w:val="000000"/>
                <w:kern w:val="0"/>
                <w:sz w:val="18"/>
                <w:szCs w:val="18"/>
                <w:u w:val="none"/>
                <w:lang w:val="en-US" w:eastAsia="zh-CN"/>
              </w:rPr>
              <w:t>条</w:t>
            </w:r>
            <w:r>
              <w:rPr>
                <w:rFonts w:hint="eastAsia" w:ascii="仿宋" w:hAnsi="仿宋" w:eastAsia="仿宋" w:cs="仿宋"/>
                <w:i w:val="0"/>
                <w:color w:val="000000"/>
                <w:kern w:val="0"/>
                <w:sz w:val="18"/>
                <w:szCs w:val="18"/>
                <w:u w:val="none"/>
                <w:lang w:val="en-US" w:eastAsia="zh-CN"/>
              </w:rPr>
              <w:br/>
            </w:r>
            <w:r>
              <w:rPr>
                <w:rFonts w:hint="eastAsia" w:ascii="仿宋" w:hAnsi="仿宋" w:eastAsia="仿宋" w:cs="仿宋"/>
                <w:i w:val="0"/>
                <w:color w:val="000000"/>
                <w:kern w:val="0"/>
                <w:sz w:val="18"/>
                <w:szCs w:val="18"/>
                <w:u w:val="none"/>
                <w:lang w:val="en-US" w:eastAsia="zh-CN"/>
              </w:rPr>
              <w:t xml:space="preserve">  单位之间发生的林木、林地所有权和使用权争议，由县级以上人民政府依法处理。个人之间、个人与单位之间发生的林木所有权和林地使用权争议，由乡镇人民政府或者县级以上人民政府依法处理。当事人对有关人民政府的处理决定不服的，可以自接到处理决定通知之日起三十日内，向人民法院起诉。在林木、林地权属争议解决前，除因森林防火、林业有害生物防治、国家重大基础设施建设等需要外，当事人任何一方不得砍伐有争议的林木或者改变林地现状。</w:t>
            </w:r>
          </w:p>
          <w:p>
            <w:pPr>
              <w:widowControl/>
              <w:wordWrap/>
              <w:adjustRightInd/>
              <w:snapToGrid/>
              <w:spacing w:line="220" w:lineRule="exact"/>
              <w:ind w:firstLine="196" w:firstLineChars="100"/>
              <w:jc w:val="both"/>
              <w:textAlignment w:val="center"/>
              <w:rPr>
                <w:rFonts w:hint="eastAsia" w:ascii="仿宋" w:hAnsi="仿宋" w:eastAsia="仿宋" w:cs="仿宋"/>
                <w:i w:val="0"/>
                <w:color w:val="000000"/>
                <w:kern w:val="0"/>
                <w:sz w:val="20"/>
                <w:szCs w:val="20"/>
                <w:u w:val="none"/>
                <w:lang w:val="en-US" w:eastAsia="zh-CN"/>
              </w:rPr>
            </w:pPr>
          </w:p>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p>
        </w:tc>
        <w:tc>
          <w:tcPr>
            <w:tcW w:w="1395"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p>
        </w:tc>
        <w:tc>
          <w:tcPr>
            <w:tcW w:w="1860"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p>
        </w:tc>
        <w:tc>
          <w:tcPr>
            <w:tcW w:w="1215"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20"/>
                <w:szCs w:val="20"/>
                <w:u w:val="none"/>
                <w:lang w:val="en-US" w:eastAsia="zh-CN"/>
              </w:rPr>
              <w:t>《林木林地权属争议处理办法》</w:t>
            </w:r>
          </w:p>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p>
        </w:tc>
        <w:tc>
          <w:tcPr>
            <w:tcW w:w="2160" w:type="dxa"/>
            <w:vAlign w:val="center"/>
          </w:tcPr>
          <w:p>
            <w:pPr>
              <w:widowControl/>
              <w:wordWrap/>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第四条</w:t>
            </w:r>
          </w:p>
          <w:p>
            <w:pPr>
              <w:widowControl/>
              <w:wordWrap/>
              <w:adjustRightInd/>
              <w:snapToGrid/>
              <w:spacing w:line="220" w:lineRule="exact"/>
              <w:ind w:firstLine="176" w:firstLineChars="10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林权争议由各级人民政府依法作出处理决定。林业部、地方各级人民政府林业行政主管部门或者人民政府设立的林权争议处理机构（以下统称林权争议处理机构）按照管理权限分别负责办理林权争议处理的具体工作。</w:t>
            </w:r>
          </w:p>
          <w:p>
            <w:pPr>
              <w:widowControl/>
              <w:wordWrap/>
              <w:adjustRightInd/>
              <w:snapToGrid/>
              <w:spacing w:line="220" w:lineRule="exact"/>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第五条</w:t>
            </w:r>
          </w:p>
          <w:p>
            <w:pPr>
              <w:widowControl/>
              <w:wordWrap/>
              <w:adjustRightInd/>
              <w:snapToGrid/>
              <w:spacing w:line="220" w:lineRule="exact"/>
              <w:ind w:firstLine="176" w:firstLineChars="100"/>
              <w:jc w:val="both"/>
              <w:textAlignment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color w:val="000000"/>
                <w:kern w:val="0"/>
                <w:sz w:val="18"/>
                <w:szCs w:val="18"/>
                <w:u w:val="none"/>
                <w:lang w:val="en-US" w:eastAsia="zh-CN"/>
              </w:rPr>
              <w:t>林权争议发生后，当事人所在地林权争议处理机构应当及时向所在地人民政府报告，并采取有效措施防止事态扩大。在林权争议解决以前，任何单位和个人不得采伐有争议的林木，不得在有争议的林地上从事基本建设或者其他生产活动。</w:t>
            </w:r>
          </w:p>
          <w:p>
            <w:pPr>
              <w:widowControl/>
              <w:wordWrap/>
              <w:adjustRightInd/>
              <w:snapToGrid/>
              <w:spacing w:line="220" w:lineRule="exact"/>
              <w:jc w:val="both"/>
              <w:textAlignment w:val="center"/>
              <w:rPr>
                <w:rFonts w:hint="eastAsia" w:ascii="仿宋" w:hAnsi="仿宋" w:eastAsia="仿宋" w:cs="仿宋"/>
                <w:i w:val="0"/>
                <w:color w:val="000000"/>
                <w:kern w:val="0"/>
                <w:sz w:val="20"/>
                <w:szCs w:val="20"/>
                <w:u w:val="none"/>
                <w:lang w:val="en-US" w:eastAsia="zh-CN"/>
              </w:rPr>
            </w:pPr>
            <w:r>
              <w:rPr>
                <w:rFonts w:hint="eastAsia" w:ascii="Times New Roman" w:hAnsi="仿宋" w:cs="仿宋"/>
                <w:kern w:val="0"/>
                <w:sz w:val="18"/>
                <w:szCs w:val="18"/>
                <w:lang w:eastAsia="zh-CN"/>
              </w:rPr>
              <w:t>注：</w:t>
            </w:r>
            <w:r>
              <w:rPr>
                <w:rFonts w:hint="eastAsia" w:ascii="仿宋" w:hAnsi="仿宋" w:eastAsia="仿宋" w:cs="仿宋"/>
                <w:kern w:val="0"/>
                <w:sz w:val="18"/>
                <w:szCs w:val="18"/>
              </w:rPr>
              <w:t>《自然资源部职能配置、内设机构和人员编制规定》中规定，“制定各类自然资源和不动产统一确权登记、权籍调查、不动产测绘、争议调处、成果应用的制度、标准、规范。”《自然资源统一确权登记工作方案》中规定，“县级以上地方人民政府和自然资源主管部门要配合、支持自然资源部做好自然资源权籍调查、界限核实、权属争议调处等相关工作。”</w:t>
            </w:r>
          </w:p>
        </w:tc>
        <w:tc>
          <w:tcPr>
            <w:tcW w:w="1151" w:type="dxa"/>
            <w:vAlign w:val="center"/>
          </w:tcPr>
          <w:p>
            <w:pPr>
              <w:widowControl/>
              <w:wordWrap/>
              <w:adjustRightInd/>
              <w:snapToGrid/>
              <w:spacing w:line="220" w:lineRule="exact"/>
              <w:ind w:left="0" w:leftChars="0" w:firstLine="0" w:firstLineChars="0"/>
              <w:jc w:val="both"/>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按照省自然资源厅和省林业和草原局《关于林木林地权属争议调处事宜的通知》，</w:t>
            </w:r>
            <w:r>
              <w:rPr>
                <w:rFonts w:hint="eastAsia" w:ascii="仿宋" w:hAnsi="仿宋" w:eastAsia="仿宋" w:cs="仿宋"/>
                <w:b/>
                <w:bCs/>
                <w:i w:val="0"/>
                <w:color w:val="000000"/>
                <w:kern w:val="0"/>
                <w:sz w:val="18"/>
                <w:szCs w:val="18"/>
                <w:u w:val="none"/>
                <w:lang w:val="en-US" w:eastAsia="zh-CN"/>
              </w:rPr>
              <w:t>自然资源主管部门负责除林权合同纠纷及承包经营权纠纷外的林木林地权属争议调处工作，林草部门负责林权合同和承包经营权纠纷调处工作。</w:t>
            </w:r>
          </w:p>
        </w:tc>
      </w:tr>
    </w:tbl>
    <w:p>
      <w:pPr>
        <w:pStyle w:val="2"/>
        <w:rPr>
          <w:rFonts w:hint="eastAsia" w:ascii="宋体" w:hAnsi="宋体" w:eastAsia="宋体" w:cs="宋体"/>
          <w:sz w:val="28"/>
          <w:szCs w:val="28"/>
        </w:rPr>
      </w:pPr>
      <w:bookmarkStart w:id="0" w:name="_GoBack"/>
      <w:bookmarkEnd w:id="0"/>
    </w:p>
    <w:sectPr>
      <w:headerReference r:id="rId4" w:type="default"/>
      <w:footerReference r:id="rId5" w:type="default"/>
      <w:pgSz w:w="16838" w:h="11906" w:orient="landscape"/>
      <w:pgMar w:top="1588" w:right="1928" w:bottom="1474" w:left="1814" w:header="851" w:footer="1531" w:gutter="0"/>
      <w:pgNumType w:start="2"/>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小标宋">
    <w:altName w:val="方正小标宋简体"/>
    <w:panose1 w:val="00000000000000000000"/>
    <w:charset w:val="86"/>
    <w:family w:val="auto"/>
    <w:pitch w:val="default"/>
    <w:sig w:usb0="00000000" w:usb1="00000000" w:usb2="00000010" w:usb3="00000000" w:csb0="00040000" w:csb1="00000000"/>
  </w:font>
  <w:font w:name="Calibri">
    <w:panose1 w:val="020F0502020204030204"/>
    <w:charset w:val="00"/>
    <w:family w:val="auto"/>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0"/>
  <w:bordersDoNotSurroundFooter w:val="0"/>
  <w:attachedTemplate r:id="rId1"/>
  <w:documentProtection w:enforcement="0"/>
  <w:defaultTabStop w:val="420"/>
  <w:drawingGridHorizontalSpacing w:val="0"/>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仿宋" w:hAnsi="宋体" w:eastAsia="仿宋" w:cs="Times New Roman"/>
      <w:kern w:val="2"/>
      <w:sz w:val="32"/>
      <w:szCs w:val="22"/>
      <w:lang w:val="en-US" w:eastAsia="zh-CN" w:bidi="ar-SA"/>
    </w:rPr>
  </w:style>
  <w:style w:type="character" w:default="1" w:styleId="7">
    <w:name w:val="Default Paragraph Font"/>
    <w:semiHidden/>
    <w:qFormat/>
    <w:uiPriority w:val="99"/>
  </w:style>
  <w:style w:type="paragraph" w:styleId="2">
    <w:name w:val="Body Text"/>
    <w:basedOn w:val="1"/>
    <w:next w:val="1"/>
    <w:link w:val="9"/>
    <w:qFormat/>
    <w:uiPriority w:val="99"/>
    <w:pPr>
      <w:spacing w:line="240" w:lineRule="atLeast"/>
    </w:pPr>
    <w:rPr>
      <w:rFonts w:eastAsia="小标宋"/>
      <w:sz w:val="44"/>
      <w:szCs w:val="32"/>
    </w:rPr>
  </w:style>
  <w:style w:type="paragraph" w:styleId="3">
    <w:name w:val="annotation text"/>
    <w:basedOn w:val="1"/>
    <w:semiHidden/>
    <w:unhideWhenUsed/>
    <w:qFormat/>
    <w:uiPriority w:val="99"/>
    <w:pPr>
      <w:jc w:val="left"/>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uppressAutoHyphens/>
      <w:spacing w:before="100" w:beforeAutospacing="1" w:after="100" w:afterAutospacing="1"/>
      <w:jc w:val="left"/>
    </w:pPr>
    <w:rPr>
      <w:rFonts w:ascii="Calibri" w:hAnsi="Calibri" w:eastAsia="宋体"/>
      <w:kern w:val="0"/>
      <w:sz w:val="24"/>
      <w:szCs w:val="24"/>
    </w:rPr>
  </w:style>
  <w:style w:type="character" w:styleId="8">
    <w:name w:val="page number"/>
    <w:basedOn w:val="7"/>
    <w:qFormat/>
    <w:uiPriority w:val="99"/>
    <w:rPr>
      <w:rFonts w:cs="Times New Roman"/>
    </w:rPr>
  </w:style>
  <w:style w:type="character" w:customStyle="1" w:styleId="9">
    <w:name w:val="Body Text Char"/>
    <w:basedOn w:val="7"/>
    <w:link w:val="2"/>
    <w:qFormat/>
    <w:locked/>
    <w:uiPriority w:val="99"/>
    <w:rPr>
      <w:rFonts w:ascii="宋体" w:hAnsi="宋体" w:eastAsia="小标宋" w:cs="Times New Roman"/>
      <w:sz w:val="32"/>
      <w:szCs w:val="32"/>
    </w:rPr>
  </w:style>
  <w:style w:type="character" w:customStyle="1" w:styleId="10">
    <w:name w:val="Footer Char"/>
    <w:basedOn w:val="7"/>
    <w:link w:val="4"/>
    <w:qFormat/>
    <w:locked/>
    <w:uiPriority w:val="99"/>
    <w:rPr>
      <w:rFonts w:ascii="宋体" w:hAnsi="宋体" w:eastAsia="方正仿宋简体" w:cs="Times New Roman"/>
      <w:sz w:val="18"/>
      <w:szCs w:val="18"/>
    </w:rPr>
  </w:style>
  <w:style w:type="character" w:customStyle="1" w:styleId="11">
    <w:name w:val="Header Char"/>
    <w:basedOn w:val="7"/>
    <w:link w:val="5"/>
    <w:semiHidden/>
    <w:qFormat/>
    <w:locked/>
    <w:uiPriority w:val="99"/>
    <w:rPr>
      <w:rFonts w:ascii="宋体" w:hAnsi="宋体" w:eastAsia="方正仿宋简体" w:cs="Times New Roman"/>
      <w:sz w:val="18"/>
      <w:szCs w:val="18"/>
    </w:rPr>
  </w:style>
  <w:style w:type="character" w:customStyle="1" w:styleId="12">
    <w:name w:val="wenzhang1"/>
    <w:basedOn w:val="7"/>
    <w:qFormat/>
    <w:uiPriority w:val="99"/>
    <w:rPr>
      <w:rFonts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kylin\C:\Users\Dell\AppData\Roaming\gwb\h111.g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h111.gwb</Template>
  <Pages>10</Pages>
  <Words>809</Words>
  <Characters>4613</Characters>
  <Lines>0</Lines>
  <Paragraphs>0</Paragraphs>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2019-08-23T17:03:00Z</dcterms:created>
  <dc:creator>刘浩然</dc:creator>
  <cp:lastModifiedBy>Administrator</cp:lastModifiedBy>
  <cp:lastPrinted>2024-12-30T17:00:00Z</cp:lastPrinted>
  <dcterms:modified xsi:type="dcterms:W3CDTF">2025-01-03T07:18:48Z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y fmtid="{D5CDD505-2E9C-101B-9397-08002B2CF9AE}" pid="3" name="ICV">
    <vt:lpwstr>7290A1524BB08F56F7860C6733ED2AE8</vt:lpwstr>
  </property>
</Properties>
</file>